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71A800">
      <w:pPr>
        <w:pStyle w:val="2"/>
        <w:widowControl w:val="0"/>
        <w:spacing w:before="100" w:after="0" w:line="360" w:lineRule="auto"/>
        <w:jc w:val="both"/>
        <w:rPr>
          <w:rFonts w:ascii="Times New Roman" w:hAnsi="Times New Roman" w:eastAsia="宋体" w:cs="Times New Roman"/>
          <w:kern w:val="2"/>
          <w:sz w:val="28"/>
          <w:highlight w:val="none"/>
        </w:rPr>
      </w:pPr>
      <w:bookmarkStart w:id="0" w:name="_Toc501460596"/>
      <w:bookmarkStart w:id="1" w:name="_Toc8875"/>
      <w:bookmarkStart w:id="2" w:name="_Toc3598"/>
      <w:bookmarkStart w:id="3" w:name="_Toc22101"/>
      <w:bookmarkStart w:id="4" w:name="_Toc6373"/>
      <w:r>
        <w:rPr>
          <w:rFonts w:ascii="Times New Roman" w:hAnsi="Times New Roman" w:eastAsia="宋体" w:cs="Times New Roman"/>
          <w:kern w:val="2"/>
          <w:sz w:val="28"/>
          <w:highlight w:val="none"/>
        </w:rPr>
        <w:t>附件</w:t>
      </w:r>
      <w:r>
        <w:rPr>
          <w:rFonts w:hint="eastAsia" w:ascii="Times New Roman" w:hAnsi="Times New Roman" w:eastAsia="宋体" w:cs="Times New Roman"/>
          <w:kern w:val="2"/>
          <w:sz w:val="28"/>
          <w:highlight w:val="none"/>
        </w:rPr>
        <w:t>2</w:t>
      </w:r>
      <w:r>
        <w:rPr>
          <w:rFonts w:ascii="Times New Roman" w:hAnsi="Times New Roman" w:eastAsia="宋体" w:cs="Times New Roman"/>
          <w:kern w:val="2"/>
          <w:sz w:val="28"/>
          <w:highlight w:val="none"/>
        </w:rPr>
        <w:t>：</w:t>
      </w:r>
      <w:bookmarkEnd w:id="0"/>
      <w:r>
        <w:rPr>
          <w:rFonts w:hint="eastAsia" w:ascii="Times New Roman" w:hAnsi="Times New Roman" w:eastAsia="宋体" w:cs="Times New Roman"/>
          <w:kern w:val="2"/>
          <w:sz w:val="28"/>
          <w:highlight w:val="none"/>
        </w:rPr>
        <w:t>支付方式</w:t>
      </w:r>
      <w:bookmarkEnd w:id="1"/>
      <w:bookmarkEnd w:id="2"/>
      <w:bookmarkEnd w:id="3"/>
      <w:bookmarkEnd w:id="4"/>
    </w:p>
    <w:p w14:paraId="263481A9">
      <w:pPr>
        <w:widowControl/>
        <w:wordWrap w:val="0"/>
        <w:ind w:firstLine="420" w:firstLineChars="200"/>
        <w:jc w:val="left"/>
        <w:rPr>
          <w:rFonts w:ascii="宋体" w:hAnsi="宋体" w:cs="宋体"/>
          <w:szCs w:val="21"/>
          <w:highlight w:val="none"/>
        </w:rPr>
      </w:pPr>
    </w:p>
    <w:p w14:paraId="0309148A">
      <w:pPr>
        <w:widowControl/>
        <w:wordWrap w:val="0"/>
        <w:ind w:firstLine="420" w:firstLineChars="200"/>
        <w:jc w:val="left"/>
        <w:rPr>
          <w:rFonts w:hint="default" w:ascii="宋体" w:hAnsi="宋体" w:eastAsia="宋体" w:cs="宋体"/>
          <w:szCs w:val="21"/>
          <w:highlight w:val="none"/>
          <w:lang w:val="en-US" w:eastAsia="zh-CN"/>
        </w:rPr>
      </w:pPr>
      <w:r>
        <w:rPr>
          <w:rFonts w:hint="eastAsia" w:ascii="宋体" w:hAnsi="宋体" w:cs="宋体"/>
          <w:szCs w:val="21"/>
          <w:highlight w:val="none"/>
        </w:rPr>
        <w:t>投标人须在招标文件发售期间通过中铁物总国际招标平台（https://bids.crmsc.com.cn/）完成汇款（具体缴费流程可咨询招标代理人员13161866075）。完成相应包件支付后，将“支付成功”界面的截图作为缴费凭证，上传至北京工程建设公共资源交易平台，通过北京工程建设公共资源交易平台下载招标文件（电子版）。</w:t>
      </w:r>
      <w:r>
        <w:rPr>
          <w:rFonts w:hint="eastAsia" w:ascii="宋体" w:hAnsi="宋体" w:cs="宋体"/>
          <w:szCs w:val="21"/>
          <w:highlight w:val="none"/>
          <w:lang w:val="en-US" w:eastAsia="zh-CN"/>
        </w:rPr>
        <w:t>第一次购买过的投标人无需再次购买，直接上传第一次购买凭证即可。</w:t>
      </w:r>
    </w:p>
    <w:p w14:paraId="18F525F1">
      <w:pPr>
        <w:widowControl/>
        <w:wordWrap w:val="0"/>
        <w:ind w:firstLine="420" w:firstLineChars="200"/>
        <w:jc w:val="left"/>
        <w:rPr>
          <w:rFonts w:hint="eastAsia" w:ascii="宋体" w:hAnsi="宋体" w:cs="宋体"/>
          <w:szCs w:val="21"/>
          <w:highlight w:val="none"/>
        </w:rPr>
      </w:pPr>
    </w:p>
    <w:p w14:paraId="4C8F91A7">
      <w:pPr>
        <w:widowControl/>
        <w:jc w:val="left"/>
        <w:rPr>
          <w:rFonts w:ascii="宋体" w:hAnsi="宋体" w:cs="宋体"/>
          <w:szCs w:val="21"/>
          <w:highlight w:val="none"/>
        </w:rPr>
      </w:pPr>
    </w:p>
    <w:p w14:paraId="084BC607">
      <w:pPr>
        <w:widowControl/>
        <w:jc w:val="left"/>
        <w:rPr>
          <w:rFonts w:ascii="宋体" w:hAnsi="宋体" w:cs="宋体"/>
          <w:szCs w:val="21"/>
          <w:highlight w:val="none"/>
        </w:rPr>
      </w:pPr>
    </w:p>
    <w:p w14:paraId="41E45BD5">
      <w:pPr>
        <w:widowControl/>
        <w:ind w:leftChars="200"/>
        <w:jc w:val="left"/>
        <w:rPr>
          <w:rFonts w:ascii="宋体" w:hAnsi="宋体" w:cs="宋体"/>
          <w:szCs w:val="21"/>
          <w:highlight w:val="none"/>
        </w:rPr>
      </w:pPr>
      <w:r>
        <w:rPr>
          <w:rFonts w:hint="eastAsia" w:ascii="宋体" w:hAnsi="宋体" w:cs="宋体"/>
          <w:szCs w:val="21"/>
          <w:highlight w:val="none"/>
        </w:rPr>
        <w:t>代理机构：中铁物总国际招标有限公司</w:t>
      </w:r>
    </w:p>
    <w:p w14:paraId="59CF7416">
      <w:pPr>
        <w:widowControl/>
        <w:ind w:leftChars="200"/>
        <w:jc w:val="left"/>
        <w:rPr>
          <w:rFonts w:ascii="宋体" w:hAnsi="宋体" w:cs="宋体"/>
          <w:szCs w:val="21"/>
          <w:highlight w:val="none"/>
        </w:rPr>
      </w:pPr>
      <w:r>
        <w:rPr>
          <w:rFonts w:hint="eastAsia" w:ascii="宋体" w:hAnsi="宋体" w:cs="宋体"/>
          <w:szCs w:val="21"/>
          <w:highlight w:val="none"/>
        </w:rPr>
        <w:t>地  址：北京市丰台区凤凰嘴街鼎兴大厦A座11层</w:t>
      </w:r>
    </w:p>
    <w:p w14:paraId="2B9F97E7">
      <w:pPr>
        <w:widowControl/>
        <w:ind w:leftChars="200"/>
        <w:jc w:val="left"/>
        <w:rPr>
          <w:rFonts w:ascii="宋体" w:hAnsi="宋体" w:cs="宋体"/>
          <w:szCs w:val="21"/>
          <w:highlight w:val="none"/>
        </w:rPr>
      </w:pPr>
      <w:r>
        <w:rPr>
          <w:rFonts w:hint="eastAsia" w:ascii="宋体" w:hAnsi="宋体" w:cs="宋体"/>
          <w:szCs w:val="21"/>
          <w:highlight w:val="none"/>
        </w:rPr>
        <w:t>联系人：王思宇</w:t>
      </w:r>
    </w:p>
    <w:p w14:paraId="568F362A">
      <w:pPr>
        <w:widowControl/>
        <w:ind w:leftChars="200"/>
        <w:jc w:val="left"/>
        <w:rPr>
          <w:rFonts w:ascii="宋体" w:hAnsi="宋体" w:cs="宋体"/>
          <w:szCs w:val="21"/>
          <w:highlight w:val="none"/>
        </w:rPr>
      </w:pPr>
      <w:r>
        <w:rPr>
          <w:rFonts w:hint="eastAsia" w:ascii="宋体" w:hAnsi="宋体" w:cs="宋体"/>
          <w:szCs w:val="21"/>
          <w:highlight w:val="none"/>
        </w:rPr>
        <w:t>电  话：13161866075</w:t>
      </w:r>
    </w:p>
    <w:p w14:paraId="63AF798F">
      <w:bookmarkStart w:id="5" w:name="_GoBack"/>
      <w:bookmarkEnd w:id="5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2351AD4"/>
    <w:rsid w:val="22351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jc w:val="both"/>
    </w:pPr>
    <w:rPr>
      <w:rFonts w:ascii="Times New Roman" w:hAnsi="Times New Roman" w:eastAsia="宋体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9"/>
    <w:pPr>
      <w:keepNext/>
      <w:keepLines/>
      <w:widowControl/>
      <w:spacing w:before="260" w:after="260" w:line="416" w:lineRule="auto"/>
      <w:jc w:val="left"/>
      <w:outlineLvl w:val="1"/>
    </w:pPr>
    <w:rPr>
      <w:rFonts w:asciiTheme="majorHAnsi" w:hAnsiTheme="majorHAnsi" w:eastAsiaTheme="majorEastAsia" w:cstheme="majorBidi"/>
      <w:b/>
      <w:bCs/>
      <w:kern w:val="0"/>
      <w:sz w:val="32"/>
      <w:szCs w:val="32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2026-11-05T01:05:00Z</dcterms:created>
  <dc:creator>鹿唐圆</dc:creator>
  <cp:lastModifiedBy>鹿唐圆</cp:lastModifiedBy>
  <dcterms:modified xsi:type="dcterms:W3CDTF">2026-11-05T01:06:23Z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F9E1AE11258B45EAA1E3C84998F6A22A_11</vt:lpwstr>
  </property>
  <property fmtid="{D5CDD505-2E9C-101B-9397-08002B2CF9AE}" pid="4" name="KSOTemplateDocerSaveRecord">
    <vt:lpwstr>eyJoZGlkIjoiMmRkOGMwMmUwOGNkMmUyMGM3ODhmMzkyNzNjYzkxNzciLCJ1c2VySWQiOiIyMzQ1MjUyNzAifQ==</vt:lpwstr>
  </property>
</Properties>
</file>