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154" w:rsidRDefault="004528F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695154" w:rsidRDefault="004528FB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</w:t>
      </w: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695154" w:rsidRDefault="0069515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97"/>
      </w:tblGrid>
      <w:tr w:rsidR="00695154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11000024T000002866979-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全国重点城市及北京市房地产市场数据监测和研究分析</w:t>
            </w:r>
          </w:p>
        </w:tc>
      </w:tr>
      <w:tr w:rsidR="0069515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北京市公共资源交易中心</w:t>
            </w:r>
          </w:p>
        </w:tc>
      </w:tr>
      <w:tr w:rsidR="0069515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王建中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83916786</w:t>
            </w:r>
          </w:p>
        </w:tc>
      </w:tr>
      <w:tr w:rsidR="00695154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项目资金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br/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年初预</w:t>
            </w:r>
          </w:p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全年预</w:t>
            </w:r>
          </w:p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全年</w:t>
            </w:r>
          </w:p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得分</w:t>
            </w:r>
          </w:p>
        </w:tc>
      </w:tr>
      <w:tr w:rsidR="00695154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45.5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10.26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22.55%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2.26</w:t>
            </w:r>
          </w:p>
        </w:tc>
      </w:tr>
      <w:tr w:rsidR="00695154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其中：当年财政</w:t>
            </w:r>
          </w:p>
          <w:p w:rsidR="00695154" w:rsidRDefault="004528FB">
            <w:pPr>
              <w:widowControl/>
              <w:spacing w:line="240" w:lineRule="exac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695154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—</w:t>
            </w:r>
          </w:p>
        </w:tc>
      </w:tr>
      <w:tr w:rsidR="00695154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45.5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10.26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22.55%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2.26</w:t>
            </w:r>
          </w:p>
        </w:tc>
      </w:tr>
      <w:tr w:rsidR="0069515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实际完成情况</w:t>
            </w:r>
          </w:p>
        </w:tc>
      </w:tr>
      <w:tr w:rsidR="00695154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拟按季度编制北京市土地市场研究分析报告，通过对宏观经济、政策环境、用地类型、交易政策、交易数据等信息进行梳理分析，与历史数据及全国重点城市数据进行对比。同时通过跟踪市场成交地块开工建设、投资去化情况，提出优化土地市场交易组织方式、规范市场交易行为、精准选择交易政策工具的意见建议，为政府及监管部门决策提供支撑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根据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2023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年度追加预算批复情况，按照《北京市公共资源交易中心关于印发采购工作管理办法的通知（试行）》，于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2023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月开展公开比选工作，选取北京中指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讯博数据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信息技术有限公司开展北京市土地市场研究分析工作。已完成《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2023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北京市土地市场研究分析报告》，并报市发展改革委领导及相关处室参阅。按照中心领导要求，后续将继续做好研究分析报告起草工作，将研究分析报告打造成中心构建“政策—平台—实体经济”深度融合的公共资源交易生态体系的品牌。</w:t>
            </w:r>
          </w:p>
        </w:tc>
      </w:tr>
      <w:tr w:rsidR="00695154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绩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br/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效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br/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指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br/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年度</w:t>
            </w:r>
          </w:p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实际</w:t>
            </w:r>
          </w:p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得分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偏差原因分析及改进</w:t>
            </w:r>
          </w:p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措施</w:t>
            </w:r>
          </w:p>
        </w:tc>
      </w:tr>
      <w:tr w:rsidR="00695154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分析方法得当，引用数据准确，分析结论明确，工作建议可行。无明显逻辑错误，文字及数据错误不超过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3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个。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≤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3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个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  <w:p w:rsidR="00695154" w:rsidRDefault="00695154">
            <w:pPr>
              <w:rPr>
                <w:rFonts w:ascii="仿宋" w:eastAsia="仿宋" w:hAnsi="仿宋" w:cs="仿宋"/>
                <w:szCs w:val="21"/>
              </w:rPr>
            </w:pPr>
          </w:p>
        </w:tc>
      </w:tr>
      <w:tr w:rsidR="00695154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按季度出具分析报告，全年共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4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个报告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＝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4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个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该项目为预算追加项目，根据预算追加批复时间，于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2023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月开展公开比选，选取北京中指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讯博数据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信息技术有限公司开展北京市土地市场研究分析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lastRenderedPageBreak/>
              <w:t>工作，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签订《北京市土地市场研究分析项目合同》，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合同期限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，自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2023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19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日至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2024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12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18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日。合同期内按季度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出具四次研究分析报告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。截至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2024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月，完成首次研究分析报告起草工作，对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2023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年全年土地市场进行了研究分析。基于上述原因，完成对该项指标打分。</w:t>
            </w:r>
          </w:p>
        </w:tc>
      </w:tr>
      <w:tr w:rsidR="00695154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每季度首月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15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日前，出据上季度（半年、年度）报告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≤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15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日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2024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日出具了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2023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年年度报告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2024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13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日出具了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2023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年年度报告，后续按照修改要求进行了修改完善</w:t>
            </w:r>
          </w:p>
        </w:tc>
      </w:tr>
      <w:tr w:rsidR="00695154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项目总金额控制在预算数内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≤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45.5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43.8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合同金额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43.8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万元</w:t>
            </w:r>
          </w:p>
        </w:tc>
      </w:tr>
      <w:tr w:rsidR="00695154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提出优化土地市场交易组织方式、规范市场交易行为、精准选择交易政策工具的意见建议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向市发展改革委报送了《关于提请参阅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&lt;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2023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年北京市土地市场研究分析报告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&gt;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的请示》，秀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玲主任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批示“请交易中心发挥好平台作用，主动对相关数据进行分析，对全市的经济运行提供参考”。报告已同步提交投资处、综合处参阅，为相关部门研究决策提供支撑。</w:t>
            </w:r>
          </w:p>
        </w:tc>
      </w:tr>
      <w:tr w:rsidR="00695154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报告提出的意见建议具有可行性，为有关部门决策提供支撑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向市发展改革委报送了《关于提请参阅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&lt;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2023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年北京市土地市场研究分析报告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&gt;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的请示》，秀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玲主任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批示“请交易中心发挥好平台作用，主动对相关数据进行分析，对全市的经济运行提供参考”。报告已同步提交投资处、综合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lastRenderedPageBreak/>
              <w:t>处参阅，为相关部门研究决策提供支撑。</w:t>
            </w:r>
          </w:p>
        </w:tc>
      </w:tr>
      <w:tr w:rsidR="00695154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满意度</w:t>
            </w:r>
          </w:p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jc w:val="left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报告通过部门验收，满意度≥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≥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报告已通过中心审核，并向市发展改革委报送了《关于提请参阅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&lt;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2023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年北京市土地市场研究分析报告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&gt;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的请示》</w:t>
            </w:r>
          </w:p>
        </w:tc>
      </w:tr>
      <w:tr w:rsidR="00695154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10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4528F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92.26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695154" w:rsidRDefault="0069515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</w:tbl>
    <w:p w:rsidR="00695154" w:rsidRDefault="00695154">
      <w:pPr>
        <w:rPr>
          <w:rFonts w:ascii="仿宋_GB2312" w:eastAsia="仿宋_GB2312"/>
          <w:vanish/>
          <w:sz w:val="32"/>
          <w:szCs w:val="32"/>
        </w:rPr>
      </w:pPr>
    </w:p>
    <w:sectPr w:rsidR="00695154">
      <w:footerReference w:type="default" r:id="rId8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528FB">
      <w:r>
        <w:separator/>
      </w:r>
    </w:p>
  </w:endnote>
  <w:endnote w:type="continuationSeparator" w:id="0">
    <w:p w:rsidR="00000000" w:rsidRDefault="0045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154" w:rsidRDefault="004528FB">
    <w:pPr>
      <w:pStyle w:val="a4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95154" w:rsidRDefault="00695154">
                          <w:pPr>
                            <w:pStyle w:val="a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:rsidR="00695154" w:rsidRDefault="0069515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528FB">
      <w:r>
        <w:separator/>
      </w:r>
    </w:p>
  </w:footnote>
  <w:footnote w:type="continuationSeparator" w:id="0">
    <w:p w:rsidR="00000000" w:rsidRDefault="00452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92540"/>
    <w:rsid w:val="000C3CFF"/>
    <w:rsid w:val="00146EC8"/>
    <w:rsid w:val="00197AAC"/>
    <w:rsid w:val="0021026A"/>
    <w:rsid w:val="002318D3"/>
    <w:rsid w:val="00321735"/>
    <w:rsid w:val="00362EEB"/>
    <w:rsid w:val="003B0389"/>
    <w:rsid w:val="003C1D76"/>
    <w:rsid w:val="003D4953"/>
    <w:rsid w:val="0041288E"/>
    <w:rsid w:val="0044451C"/>
    <w:rsid w:val="004528FB"/>
    <w:rsid w:val="00457AF1"/>
    <w:rsid w:val="00461F12"/>
    <w:rsid w:val="004940E3"/>
    <w:rsid w:val="0058458C"/>
    <w:rsid w:val="005D5830"/>
    <w:rsid w:val="005D5B2D"/>
    <w:rsid w:val="00604E04"/>
    <w:rsid w:val="0064249D"/>
    <w:rsid w:val="00695154"/>
    <w:rsid w:val="00764197"/>
    <w:rsid w:val="00767C78"/>
    <w:rsid w:val="007C6B3F"/>
    <w:rsid w:val="00805CC9"/>
    <w:rsid w:val="00817FAF"/>
    <w:rsid w:val="00831A16"/>
    <w:rsid w:val="008E3BCA"/>
    <w:rsid w:val="0096633A"/>
    <w:rsid w:val="0099310E"/>
    <w:rsid w:val="00A04C86"/>
    <w:rsid w:val="00A209EC"/>
    <w:rsid w:val="00A9390C"/>
    <w:rsid w:val="00AA2222"/>
    <w:rsid w:val="00B62A57"/>
    <w:rsid w:val="00B8314A"/>
    <w:rsid w:val="00BA6196"/>
    <w:rsid w:val="00BC496E"/>
    <w:rsid w:val="00C115F6"/>
    <w:rsid w:val="00C85867"/>
    <w:rsid w:val="00CA1B7D"/>
    <w:rsid w:val="00CF0312"/>
    <w:rsid w:val="00D57350"/>
    <w:rsid w:val="00D95B8F"/>
    <w:rsid w:val="00EC4A53"/>
    <w:rsid w:val="00ED6559"/>
    <w:rsid w:val="01991FBF"/>
    <w:rsid w:val="01E23011"/>
    <w:rsid w:val="02310CBD"/>
    <w:rsid w:val="024858AA"/>
    <w:rsid w:val="03BC0C61"/>
    <w:rsid w:val="03E11AD1"/>
    <w:rsid w:val="04BA7570"/>
    <w:rsid w:val="069A6270"/>
    <w:rsid w:val="07EC3BD2"/>
    <w:rsid w:val="09A61163"/>
    <w:rsid w:val="0ABB2FF3"/>
    <w:rsid w:val="0AEF3DD9"/>
    <w:rsid w:val="0B603E17"/>
    <w:rsid w:val="0B8701A7"/>
    <w:rsid w:val="0B8D5292"/>
    <w:rsid w:val="0C0232D1"/>
    <w:rsid w:val="0DE005F5"/>
    <w:rsid w:val="0E976AB0"/>
    <w:rsid w:val="0F20638C"/>
    <w:rsid w:val="108A5F33"/>
    <w:rsid w:val="10E31B8D"/>
    <w:rsid w:val="10E344BC"/>
    <w:rsid w:val="11651885"/>
    <w:rsid w:val="12E60488"/>
    <w:rsid w:val="137A64F1"/>
    <w:rsid w:val="14AD47AE"/>
    <w:rsid w:val="16107FB0"/>
    <w:rsid w:val="17757E00"/>
    <w:rsid w:val="17907A0A"/>
    <w:rsid w:val="17E106B3"/>
    <w:rsid w:val="18E9476E"/>
    <w:rsid w:val="1A47549F"/>
    <w:rsid w:val="1C220178"/>
    <w:rsid w:val="1C63333F"/>
    <w:rsid w:val="1CDC7B67"/>
    <w:rsid w:val="1EBD2515"/>
    <w:rsid w:val="1EE71D4D"/>
    <w:rsid w:val="1F7807AF"/>
    <w:rsid w:val="1F890B7E"/>
    <w:rsid w:val="1FD90ACE"/>
    <w:rsid w:val="209D43AF"/>
    <w:rsid w:val="21A02F7B"/>
    <w:rsid w:val="21E32605"/>
    <w:rsid w:val="227F2CA6"/>
    <w:rsid w:val="23CF7694"/>
    <w:rsid w:val="23DB79C9"/>
    <w:rsid w:val="2417056F"/>
    <w:rsid w:val="24326650"/>
    <w:rsid w:val="24D12D46"/>
    <w:rsid w:val="24F07093"/>
    <w:rsid w:val="25282C04"/>
    <w:rsid w:val="269D3AB3"/>
    <w:rsid w:val="270C05A6"/>
    <w:rsid w:val="27A3188B"/>
    <w:rsid w:val="27A71A3A"/>
    <w:rsid w:val="29405EF3"/>
    <w:rsid w:val="2A707A49"/>
    <w:rsid w:val="2A7228D5"/>
    <w:rsid w:val="2BA172D8"/>
    <w:rsid w:val="2C307849"/>
    <w:rsid w:val="2DDC5E7F"/>
    <w:rsid w:val="2F4020A9"/>
    <w:rsid w:val="2F893DC5"/>
    <w:rsid w:val="302208E4"/>
    <w:rsid w:val="308F05C2"/>
    <w:rsid w:val="30C96FC7"/>
    <w:rsid w:val="315E3BB3"/>
    <w:rsid w:val="32FA6080"/>
    <w:rsid w:val="33FB757A"/>
    <w:rsid w:val="36854538"/>
    <w:rsid w:val="36A6603E"/>
    <w:rsid w:val="37173543"/>
    <w:rsid w:val="3A0D59F9"/>
    <w:rsid w:val="3B107C5D"/>
    <w:rsid w:val="3BE253E0"/>
    <w:rsid w:val="3E703177"/>
    <w:rsid w:val="3FF76880"/>
    <w:rsid w:val="40BC4452"/>
    <w:rsid w:val="40E56C00"/>
    <w:rsid w:val="422240EE"/>
    <w:rsid w:val="44305883"/>
    <w:rsid w:val="4441589F"/>
    <w:rsid w:val="445E6EA4"/>
    <w:rsid w:val="44677C2B"/>
    <w:rsid w:val="45397822"/>
    <w:rsid w:val="46B94916"/>
    <w:rsid w:val="4755115C"/>
    <w:rsid w:val="47A8455E"/>
    <w:rsid w:val="48552138"/>
    <w:rsid w:val="48D62ED2"/>
    <w:rsid w:val="49170DBF"/>
    <w:rsid w:val="49CF4E18"/>
    <w:rsid w:val="49DF6519"/>
    <w:rsid w:val="4A326368"/>
    <w:rsid w:val="4A3E609C"/>
    <w:rsid w:val="4ACB1030"/>
    <w:rsid w:val="4BC27F7A"/>
    <w:rsid w:val="4D245859"/>
    <w:rsid w:val="4D8605ED"/>
    <w:rsid w:val="507147D7"/>
    <w:rsid w:val="51744A4A"/>
    <w:rsid w:val="51EA0E62"/>
    <w:rsid w:val="527418EE"/>
    <w:rsid w:val="534D53DE"/>
    <w:rsid w:val="538A565B"/>
    <w:rsid w:val="53C2022F"/>
    <w:rsid w:val="54921C42"/>
    <w:rsid w:val="551F150B"/>
    <w:rsid w:val="55FC6A5E"/>
    <w:rsid w:val="56C9056E"/>
    <w:rsid w:val="577F59EC"/>
    <w:rsid w:val="57E00F16"/>
    <w:rsid w:val="58145B5D"/>
    <w:rsid w:val="587902B5"/>
    <w:rsid w:val="58C52932"/>
    <w:rsid w:val="592768E9"/>
    <w:rsid w:val="60F77485"/>
    <w:rsid w:val="61E60EAB"/>
    <w:rsid w:val="624B1DEA"/>
    <w:rsid w:val="63F45A18"/>
    <w:rsid w:val="65F406D1"/>
    <w:rsid w:val="672F48CC"/>
    <w:rsid w:val="6775534A"/>
    <w:rsid w:val="687476C1"/>
    <w:rsid w:val="6881195A"/>
    <w:rsid w:val="68E9184F"/>
    <w:rsid w:val="695824FD"/>
    <w:rsid w:val="69D36D49"/>
    <w:rsid w:val="6A44089F"/>
    <w:rsid w:val="6A44669C"/>
    <w:rsid w:val="6B14233D"/>
    <w:rsid w:val="6B655B6D"/>
    <w:rsid w:val="6B927388"/>
    <w:rsid w:val="6B965D8F"/>
    <w:rsid w:val="6BD82A45"/>
    <w:rsid w:val="6C2D5008"/>
    <w:rsid w:val="6CDA09A4"/>
    <w:rsid w:val="6D05726A"/>
    <w:rsid w:val="6D844B33"/>
    <w:rsid w:val="6D8E6C32"/>
    <w:rsid w:val="6E341EDA"/>
    <w:rsid w:val="6E503ACC"/>
    <w:rsid w:val="6FC648B3"/>
    <w:rsid w:val="6FE91AB3"/>
    <w:rsid w:val="6FF356A3"/>
    <w:rsid w:val="70782DDA"/>
    <w:rsid w:val="727D3192"/>
    <w:rsid w:val="72DB41C0"/>
    <w:rsid w:val="74306915"/>
    <w:rsid w:val="74313014"/>
    <w:rsid w:val="74822CE1"/>
    <w:rsid w:val="7486501D"/>
    <w:rsid w:val="74CA436B"/>
    <w:rsid w:val="753B10E2"/>
    <w:rsid w:val="76084F2A"/>
    <w:rsid w:val="764543D4"/>
    <w:rsid w:val="78500F77"/>
    <w:rsid w:val="7869031C"/>
    <w:rsid w:val="79CD282F"/>
    <w:rsid w:val="79E9735F"/>
    <w:rsid w:val="7A322FE4"/>
    <w:rsid w:val="7AB7FF50"/>
    <w:rsid w:val="7B4E2C6B"/>
    <w:rsid w:val="7BFEB0DB"/>
    <w:rsid w:val="7C613B24"/>
    <w:rsid w:val="7CBD4A32"/>
    <w:rsid w:val="7CF93208"/>
    <w:rsid w:val="7D183643"/>
    <w:rsid w:val="7DA5313E"/>
    <w:rsid w:val="7DDD0191"/>
    <w:rsid w:val="7E9E4F48"/>
    <w:rsid w:val="7F9C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Pr>
      <w:b/>
      <w:bCs/>
    </w:rPr>
  </w:style>
  <w:style w:type="character" w:styleId="a7">
    <w:name w:val="annotation reference"/>
    <w:basedOn w:val="a0"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Pr>
      <w:b/>
      <w:bCs/>
    </w:rPr>
  </w:style>
  <w:style w:type="character" w:styleId="a7">
    <w:name w:val="annotation reference"/>
    <w:basedOn w:val="a0"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1364</Words>
  <Characters>363</Characters>
  <Application>Microsoft Office Word</Application>
  <DocSecurity>0</DocSecurity>
  <Lines>3</Lines>
  <Paragraphs>3</Paragraphs>
  <ScaleCrop>false</ScaleCrop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weimian</cp:lastModifiedBy>
  <cp:revision>23</cp:revision>
  <cp:lastPrinted>2022-03-24T10:01:00Z</cp:lastPrinted>
  <dcterms:created xsi:type="dcterms:W3CDTF">2022-03-10T03:16:00Z</dcterms:created>
  <dcterms:modified xsi:type="dcterms:W3CDTF">2024-04-18T06:29:00Z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AC302A00C996478EA0273598EBF79334_12</vt:lpwstr>
  </property>
</Properties>
</file>