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Cs w:val="21"/>
        </w:rPr>
      </w:pPr>
    </w:p>
    <w:p>
      <w:pPr>
        <w:rPr>
          <w:sz w:val="24"/>
        </w:rPr>
      </w:pPr>
      <w:r>
        <w:rPr>
          <w:rFonts w:ascii="宋体" w:hAnsi="宋体"/>
          <w:b/>
          <w:sz w:val="28"/>
          <w:szCs w:val="28"/>
        </w:rPr>
        <w:t>DZH—HS—2017</w:t>
      </w:r>
    </w:p>
    <w:p>
      <w:pPr>
        <w:rPr>
          <w:sz w:val="24"/>
        </w:rPr>
      </w:pPr>
    </w:p>
    <w:p>
      <w:pPr>
        <w:rPr>
          <w:sz w:val="24"/>
        </w:rPr>
      </w:pPr>
    </w:p>
    <w:p>
      <w:pPr>
        <w:rPr>
          <w:b/>
          <w:sz w:val="10"/>
          <w:szCs w:val="10"/>
        </w:rPr>
      </w:pPr>
    </w:p>
    <w:p>
      <w:pPr>
        <w:rPr>
          <w:b/>
          <w:sz w:val="10"/>
          <w:szCs w:val="10"/>
        </w:rPr>
      </w:pPr>
    </w:p>
    <w:p>
      <w:pPr>
        <w:rPr>
          <w:b/>
          <w:sz w:val="10"/>
          <w:szCs w:val="10"/>
        </w:rPr>
      </w:pPr>
    </w:p>
    <w:p>
      <w:pPr>
        <w:spacing w:line="600" w:lineRule="auto"/>
        <w:jc w:val="center"/>
        <w:rPr>
          <w:b/>
          <w:sz w:val="44"/>
          <w:szCs w:val="44"/>
        </w:rPr>
      </w:pPr>
      <w:r>
        <w:rPr>
          <w:rFonts w:hint="eastAsia"/>
          <w:b/>
          <w:sz w:val="44"/>
          <w:szCs w:val="44"/>
        </w:rPr>
        <w:t>北京市房屋建筑和市政工程</w:t>
      </w:r>
    </w:p>
    <w:p>
      <w:pPr>
        <w:spacing w:line="600" w:lineRule="auto"/>
        <w:jc w:val="center"/>
        <w:rPr>
          <w:b/>
          <w:sz w:val="44"/>
          <w:szCs w:val="44"/>
        </w:rPr>
      </w:pPr>
      <w:r>
        <w:rPr>
          <w:rFonts w:hint="eastAsia"/>
          <w:b/>
          <w:sz w:val="44"/>
          <w:szCs w:val="44"/>
        </w:rPr>
        <w:t>施工招标文件</w:t>
      </w:r>
    </w:p>
    <w:p>
      <w:pPr>
        <w:jc w:val="center"/>
        <w:rPr>
          <w:b/>
          <w:sz w:val="28"/>
          <w:szCs w:val="28"/>
        </w:rPr>
      </w:pPr>
    </w:p>
    <w:p>
      <w:pPr>
        <w:rPr>
          <w:b/>
          <w:sz w:val="28"/>
          <w:szCs w:val="28"/>
        </w:rPr>
      </w:pPr>
    </w:p>
    <w:p>
      <w:pPr>
        <w:jc w:val="center"/>
        <w:rPr>
          <w:b/>
          <w:sz w:val="28"/>
          <w:szCs w:val="28"/>
        </w:rPr>
      </w:pPr>
    </w:p>
    <w:p>
      <w:pPr>
        <w:spacing w:line="600" w:lineRule="auto"/>
        <w:jc w:val="center"/>
        <w:rPr>
          <w:rFonts w:ascii="宋体"/>
          <w:b/>
          <w:sz w:val="84"/>
          <w:szCs w:val="84"/>
        </w:rPr>
      </w:pPr>
      <w:r>
        <w:rPr>
          <w:rFonts w:hint="eastAsia" w:ascii="宋体" w:hAnsi="宋体"/>
          <w:b/>
          <w:sz w:val="84"/>
          <w:szCs w:val="84"/>
        </w:rPr>
        <w:t>标准文本</w:t>
      </w:r>
    </w:p>
    <w:p>
      <w:pPr>
        <w:spacing w:before="120" w:beforeLines="50" w:after="120" w:afterLines="50"/>
        <w:jc w:val="center"/>
        <w:rPr>
          <w:rFonts w:ascii="宋体"/>
          <w:sz w:val="32"/>
          <w:szCs w:val="32"/>
        </w:rPr>
      </w:pPr>
      <w:r>
        <w:rPr>
          <w:rFonts w:hint="eastAsia" w:ascii="宋体" w:hAnsi="宋体"/>
          <w:sz w:val="32"/>
          <w:szCs w:val="32"/>
        </w:rPr>
        <w:t>资格后审－电子化版</w:t>
      </w:r>
    </w:p>
    <w:p/>
    <w:p>
      <w:pPr>
        <w:jc w:val="center"/>
      </w:pPr>
    </w:p>
    <w:p>
      <w:pPr>
        <w:jc w:val="center"/>
      </w:pPr>
    </w:p>
    <w:p>
      <w:pPr>
        <w:jc w:val="center"/>
      </w:pPr>
      <w:r>
        <w:rPr>
          <w:rFonts w:hint="eastAsia" w:ascii="宋体" w:hAnsi="宋体"/>
          <w:b/>
          <w:sz w:val="36"/>
          <w:szCs w:val="36"/>
        </w:rPr>
        <w:t>通用部分</w:t>
      </w:r>
    </w:p>
    <w:p/>
    <w:p/>
    <w:p/>
    <w:p/>
    <w:p/>
    <w:p/>
    <w:p/>
    <w:p/>
    <w:p/>
    <w:p>
      <w:pPr>
        <w:jc w:val="center"/>
        <w:rPr>
          <w:rFonts w:ascii="宋体" w:hAnsi="宋体"/>
          <w:sz w:val="36"/>
          <w:szCs w:val="36"/>
        </w:rPr>
      </w:pPr>
      <w:r>
        <w:rPr>
          <w:rFonts w:hint="eastAsia" w:ascii="宋体" w:hAnsi="宋体"/>
          <w:sz w:val="36"/>
          <w:szCs w:val="36"/>
        </w:rPr>
        <w:t>二〇二二年十月</w:t>
      </w:r>
    </w:p>
    <w:p>
      <w:pPr>
        <w:jc w:val="center"/>
        <w:rPr>
          <w:rFonts w:ascii="宋体" w:hAnsi="宋体"/>
          <w:sz w:val="36"/>
          <w:szCs w:val="36"/>
        </w:rPr>
      </w:pPr>
    </w:p>
    <w:p>
      <w:pPr>
        <w:pStyle w:val="39"/>
        <w:spacing w:before="3600" w:beforeLines="1500"/>
      </w:pPr>
    </w:p>
    <w:p>
      <w:pPr>
        <w:pStyle w:val="39"/>
        <w:spacing w:before="3600" w:beforeLines="1500"/>
        <w:sectPr>
          <w:headerReference r:id="rId3" w:type="default"/>
          <w:headerReference r:id="rId4" w:type="even"/>
          <w:footerReference r:id="rId5" w:type="even"/>
          <w:pgSz w:w="11906" w:h="16838"/>
          <w:pgMar w:top="1440" w:right="1797" w:bottom="1440" w:left="1797" w:header="851" w:footer="992" w:gutter="0"/>
          <w:pgNumType w:start="1"/>
          <w:cols w:space="720" w:num="1"/>
          <w:docGrid w:linePitch="286" w:charSpace="0"/>
        </w:sectPr>
      </w:pPr>
      <w:r>
        <w:br w:type="page"/>
      </w:r>
    </w:p>
    <w:p>
      <w:pPr>
        <w:jc w:val="center"/>
        <w:rPr>
          <w:rFonts w:ascii="黑体" w:hAnsi="黑体" w:eastAsia="黑体"/>
          <w:sz w:val="32"/>
          <w:szCs w:val="32"/>
        </w:rPr>
      </w:pPr>
    </w:p>
    <w:p>
      <w:pPr>
        <w:spacing w:line="360" w:lineRule="auto"/>
        <w:jc w:val="center"/>
        <w:rPr>
          <w:rFonts w:ascii="宋体"/>
          <w:b/>
          <w:sz w:val="32"/>
          <w:szCs w:val="32"/>
        </w:rPr>
      </w:pPr>
      <w:r>
        <w:rPr>
          <w:rFonts w:hint="eastAsia" w:ascii="宋体" w:hAnsi="宋体"/>
          <w:b/>
          <w:sz w:val="32"/>
          <w:szCs w:val="32"/>
        </w:rPr>
        <w:t>编制说明</w:t>
      </w:r>
    </w:p>
    <w:p>
      <w:pPr>
        <w:spacing w:line="500" w:lineRule="exact"/>
        <w:jc w:val="center"/>
        <w:rPr>
          <w:rFonts w:ascii="宋体"/>
          <w:b/>
          <w:sz w:val="24"/>
        </w:rPr>
      </w:pPr>
    </w:p>
    <w:p>
      <w:pPr>
        <w:spacing w:line="360" w:lineRule="auto"/>
        <w:rPr>
          <w:b/>
        </w:rPr>
      </w:pPr>
      <w:r>
        <w:rPr>
          <w:rFonts w:hint="eastAsia"/>
          <w:b/>
        </w:rPr>
        <w:t>一、优化编制《北京市房屋建筑和市政工程施工招标文件标准文本（</w:t>
      </w:r>
      <w:r>
        <w:rPr>
          <w:b/>
        </w:rPr>
        <w:t>2017</w:t>
      </w:r>
      <w:r>
        <w:rPr>
          <w:rFonts w:hint="eastAsia"/>
          <w:b/>
        </w:rPr>
        <w:t>版）》的目的</w:t>
      </w:r>
    </w:p>
    <w:p>
      <w:pPr>
        <w:spacing w:line="360" w:lineRule="auto"/>
        <w:ind w:firstLine="420" w:firstLineChars="200"/>
        <w:rPr>
          <w:rFonts w:ascii="宋体" w:hAnsi="宋体" w:cs="Arial"/>
          <w:bCs/>
          <w:szCs w:val="21"/>
        </w:rPr>
      </w:pPr>
      <w:bookmarkStart w:id="0" w:name="_Hlk114069927"/>
      <w:r>
        <w:rPr>
          <w:rFonts w:hint="eastAsia"/>
          <w:bCs/>
        </w:rPr>
        <w:t>为更好地落实《中华人民共和国招标投标法》、《中华人民共和国招标投标法实施条例》等现行法律、法规、规章和规范性文件精神，</w:t>
      </w:r>
      <w:bookmarkStart w:id="1" w:name="_Hlk114643544"/>
      <w:r>
        <w:rPr>
          <w:rFonts w:hint="eastAsia"/>
          <w:bCs/>
        </w:rPr>
        <w:t>持续优化“营商环境”、落实招标人主体责任，依托电子化推进招投标工作标准化，进一步规范北京市房屋建筑和市政工程招标文件编制活动，结合我市建设工程招投标活动“事中事后”管理经验，</w:t>
      </w:r>
      <w:bookmarkEnd w:id="1"/>
      <w:r>
        <w:rPr>
          <w:rFonts w:hint="eastAsia"/>
          <w:bCs/>
        </w:rPr>
        <w:t>北京市建设工程招标投标管理事务中心优化编制了</w:t>
      </w:r>
      <w:bookmarkEnd w:id="0"/>
      <w:r>
        <w:rPr>
          <w:rFonts w:hint="eastAsia"/>
          <w:bCs/>
        </w:rPr>
        <w:t>《北京市房屋建筑和市政工程施工招标文件标准文本（</w:t>
      </w:r>
      <w:r>
        <w:rPr>
          <w:bCs/>
        </w:rPr>
        <w:t>2017</w:t>
      </w:r>
      <w:r>
        <w:rPr>
          <w:rFonts w:hint="eastAsia"/>
          <w:bCs/>
        </w:rPr>
        <w:t>版）》（以下简称“《标准文本（</w:t>
      </w:r>
      <w:r>
        <w:rPr>
          <w:bCs/>
        </w:rPr>
        <w:t>2017</w:t>
      </w:r>
      <w:r>
        <w:rPr>
          <w:rFonts w:hint="eastAsia"/>
          <w:bCs/>
        </w:rPr>
        <w:t>版）》”）。</w:t>
      </w:r>
    </w:p>
    <w:p>
      <w:pPr>
        <w:spacing w:line="360" w:lineRule="auto"/>
        <w:ind w:firstLine="420" w:firstLineChars="200"/>
        <w:rPr>
          <w:rFonts w:ascii="宋体" w:hAnsi="宋体" w:cs="Arial"/>
          <w:szCs w:val="21"/>
        </w:rPr>
      </w:pPr>
    </w:p>
    <w:p>
      <w:pPr>
        <w:spacing w:line="360" w:lineRule="auto"/>
        <w:rPr>
          <w:b/>
        </w:rPr>
      </w:pPr>
      <w:r>
        <w:rPr>
          <w:rFonts w:hint="eastAsia"/>
          <w:b/>
        </w:rPr>
        <w:t>二、《标准文本（</w:t>
      </w:r>
      <w:r>
        <w:rPr>
          <w:b/>
        </w:rPr>
        <w:t>2017</w:t>
      </w:r>
      <w:r>
        <w:rPr>
          <w:rFonts w:hint="eastAsia"/>
          <w:b/>
        </w:rPr>
        <w:t>版）》优化编制的主要依据</w:t>
      </w:r>
    </w:p>
    <w:p>
      <w:pPr>
        <w:spacing w:line="360" w:lineRule="auto"/>
        <w:ind w:firstLine="420" w:firstLineChars="200"/>
        <w:rPr>
          <w:rFonts w:ascii="宋体" w:cs="Arial"/>
          <w:szCs w:val="21"/>
        </w:rPr>
      </w:pPr>
      <w:r>
        <w:rPr>
          <w:rFonts w:ascii="宋体" w:hAnsi="宋体" w:cs="Arial"/>
          <w:szCs w:val="21"/>
        </w:rPr>
        <w:t>1.</w:t>
      </w:r>
      <w:r>
        <w:rPr>
          <w:rFonts w:hint="eastAsia" w:ascii="宋体" w:hAnsi="宋体" w:cs="Arial"/>
          <w:szCs w:val="21"/>
        </w:rPr>
        <w:t>《中华人民共和国招标投标法》</w:t>
      </w:r>
      <w:r>
        <w:rPr>
          <w:rFonts w:ascii="宋体" w:hAnsi="宋体" w:cs="Arial"/>
          <w:szCs w:val="21"/>
        </w:rPr>
        <w:t>(</w:t>
      </w:r>
      <w:r>
        <w:rPr>
          <w:rFonts w:hint="eastAsia" w:ascii="宋体" w:hAnsi="宋体" w:cs="Arial"/>
          <w:szCs w:val="21"/>
        </w:rPr>
        <w:t>中华人民共和国主席令第</w:t>
      </w:r>
      <w:r>
        <w:rPr>
          <w:rFonts w:ascii="宋体" w:hAnsi="宋体" w:cs="Arial"/>
          <w:szCs w:val="21"/>
        </w:rPr>
        <w:t>86</w:t>
      </w:r>
      <w:r>
        <w:rPr>
          <w:rFonts w:hint="eastAsia" w:ascii="宋体" w:hAnsi="宋体" w:cs="Arial"/>
          <w:szCs w:val="21"/>
        </w:rPr>
        <w:t>号</w:t>
      </w:r>
      <w:r>
        <w:rPr>
          <w:rFonts w:ascii="宋体" w:hAnsi="宋体" w:cs="Arial"/>
          <w:szCs w:val="21"/>
        </w:rPr>
        <w:t>)</w:t>
      </w:r>
      <w:r>
        <w:rPr>
          <w:rFonts w:hint="eastAsia" w:ascii="宋体" w:hAnsi="宋体" w:cs="Arial"/>
          <w:szCs w:val="21"/>
        </w:rPr>
        <w:t>；</w:t>
      </w:r>
    </w:p>
    <w:p>
      <w:pPr>
        <w:spacing w:line="360" w:lineRule="auto"/>
        <w:ind w:firstLine="420" w:firstLineChars="200"/>
        <w:rPr>
          <w:rFonts w:ascii="宋体" w:cs="Arial"/>
          <w:szCs w:val="21"/>
        </w:rPr>
      </w:pPr>
      <w:r>
        <w:rPr>
          <w:rFonts w:ascii="宋体" w:hAnsi="宋体" w:cs="Arial"/>
          <w:szCs w:val="21"/>
        </w:rPr>
        <w:t>2.</w:t>
      </w:r>
      <w:r>
        <w:rPr>
          <w:rFonts w:hint="eastAsia" w:ascii="宋体" w:hAnsi="宋体" w:cs="Arial"/>
          <w:szCs w:val="21"/>
        </w:rPr>
        <w:t>《中华人民共和国招标投标法实施条例》</w:t>
      </w:r>
      <w:r>
        <w:rPr>
          <w:rFonts w:ascii="宋体" w:hAnsi="宋体" w:cs="Arial"/>
          <w:szCs w:val="21"/>
        </w:rPr>
        <w:t>(</w:t>
      </w:r>
      <w:r>
        <w:rPr>
          <w:rFonts w:hint="eastAsia" w:ascii="宋体" w:hAnsi="宋体" w:cs="Arial"/>
          <w:szCs w:val="21"/>
        </w:rPr>
        <w:t>国务院第</w:t>
      </w:r>
      <w:r>
        <w:rPr>
          <w:rFonts w:ascii="宋体" w:hAnsi="宋体" w:cs="Arial"/>
          <w:szCs w:val="21"/>
        </w:rPr>
        <w:t>709</w:t>
      </w:r>
      <w:r>
        <w:rPr>
          <w:rFonts w:hint="eastAsia" w:ascii="宋体" w:hAnsi="宋体" w:cs="Arial"/>
          <w:szCs w:val="21"/>
        </w:rPr>
        <w:t>号令</w:t>
      </w:r>
      <w:r>
        <w:rPr>
          <w:rFonts w:ascii="宋体" w:hAnsi="宋体" w:cs="Arial"/>
          <w:szCs w:val="21"/>
        </w:rPr>
        <w:t>)</w:t>
      </w:r>
      <w:r>
        <w:rPr>
          <w:rFonts w:hint="eastAsia" w:ascii="宋体" w:hAnsi="宋体" w:cs="Arial"/>
          <w:szCs w:val="21"/>
        </w:rPr>
        <w:t>；</w:t>
      </w:r>
    </w:p>
    <w:p>
      <w:pPr>
        <w:spacing w:line="360" w:lineRule="auto"/>
        <w:ind w:firstLine="420" w:firstLineChars="200"/>
        <w:rPr>
          <w:rFonts w:ascii="宋体" w:cs="Arial"/>
          <w:szCs w:val="21"/>
        </w:rPr>
      </w:pPr>
      <w:r>
        <w:rPr>
          <w:rFonts w:ascii="宋体" w:hAnsi="宋体" w:cs="Arial"/>
          <w:szCs w:val="21"/>
        </w:rPr>
        <w:t>3.</w:t>
      </w:r>
      <w:r>
        <w:rPr>
          <w:rFonts w:hint="eastAsia" w:ascii="宋体" w:hAnsi="宋体" w:cs="Arial"/>
          <w:szCs w:val="21"/>
        </w:rPr>
        <w:t>《北京市</w:t>
      </w:r>
      <w:r>
        <w:rPr>
          <w:rFonts w:ascii="宋体" w:hAnsi="宋体" w:cs="Arial"/>
          <w:szCs w:val="21"/>
        </w:rPr>
        <w:t>&lt;</w:t>
      </w:r>
      <w:r>
        <w:rPr>
          <w:rFonts w:hint="eastAsia" w:ascii="宋体" w:hAnsi="宋体" w:cs="Arial"/>
          <w:szCs w:val="21"/>
        </w:rPr>
        <w:t>房屋建筑和市政工程标准施工招标文件</w:t>
      </w:r>
      <w:r>
        <w:rPr>
          <w:rFonts w:ascii="宋体" w:hAnsi="宋体" w:cs="Arial"/>
          <w:szCs w:val="21"/>
        </w:rPr>
        <w:t>&gt;</w:t>
      </w:r>
      <w:r>
        <w:rPr>
          <w:rFonts w:hint="eastAsia" w:ascii="宋体" w:hAnsi="宋体" w:cs="Arial"/>
          <w:szCs w:val="21"/>
        </w:rPr>
        <w:t>标准文本（</w:t>
      </w:r>
      <w:r>
        <w:rPr>
          <w:rFonts w:ascii="宋体" w:hAnsi="宋体" w:cs="Arial"/>
          <w:szCs w:val="21"/>
        </w:rPr>
        <w:t>2017</w:t>
      </w:r>
      <w:r>
        <w:rPr>
          <w:rFonts w:hint="eastAsia" w:ascii="宋体" w:hAnsi="宋体" w:cs="Arial"/>
          <w:szCs w:val="21"/>
        </w:rPr>
        <w:t>版）》；</w:t>
      </w:r>
    </w:p>
    <w:p>
      <w:pPr>
        <w:spacing w:line="360" w:lineRule="auto"/>
        <w:ind w:firstLine="420" w:firstLineChars="200"/>
        <w:rPr>
          <w:rFonts w:ascii="宋体" w:cs="Arial"/>
          <w:szCs w:val="21"/>
        </w:rPr>
      </w:pPr>
      <w:r>
        <w:rPr>
          <w:rFonts w:ascii="宋体" w:hAnsi="宋体" w:cs="Arial"/>
          <w:szCs w:val="21"/>
        </w:rPr>
        <w:t>4.</w:t>
      </w:r>
      <w:r>
        <w:rPr>
          <w:rFonts w:hint="eastAsia" w:ascii="宋体" w:hAnsi="宋体" w:cs="Arial"/>
          <w:szCs w:val="21"/>
        </w:rPr>
        <w:t>《国务院办公厅关于清理规范工程建设领域保证金的通知》（国办发〔</w:t>
      </w:r>
      <w:r>
        <w:rPr>
          <w:rFonts w:ascii="宋体" w:hAnsi="宋体" w:cs="Arial"/>
          <w:szCs w:val="21"/>
        </w:rPr>
        <w:t>2016</w:t>
      </w:r>
      <w:r>
        <w:rPr>
          <w:rFonts w:hint="eastAsia" w:ascii="宋体" w:hAnsi="宋体" w:cs="Arial"/>
          <w:szCs w:val="21"/>
        </w:rPr>
        <w:t>〕</w:t>
      </w:r>
      <w:r>
        <w:rPr>
          <w:rFonts w:ascii="宋体" w:hAnsi="宋体" w:cs="Arial"/>
          <w:szCs w:val="21"/>
        </w:rPr>
        <w:t>49</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5.</w:t>
      </w:r>
      <w:r>
        <w:rPr>
          <w:rFonts w:hint="eastAsia" w:ascii="宋体" w:hAnsi="宋体" w:cs="Arial"/>
          <w:szCs w:val="21"/>
        </w:rPr>
        <w:t>《关于在招标投标活动中对失信被执行人实施联合惩戒的通知》（法〔</w:t>
      </w:r>
      <w:r>
        <w:rPr>
          <w:rFonts w:ascii="宋体" w:hAnsi="宋体" w:cs="Arial"/>
          <w:szCs w:val="21"/>
        </w:rPr>
        <w:t>2016</w:t>
      </w:r>
      <w:r>
        <w:rPr>
          <w:rFonts w:hint="eastAsia" w:ascii="宋体" w:hAnsi="宋体" w:cs="Arial"/>
          <w:szCs w:val="21"/>
        </w:rPr>
        <w:t>〕</w:t>
      </w:r>
      <w:r>
        <w:rPr>
          <w:rFonts w:ascii="宋体" w:hAnsi="宋体" w:cs="Arial"/>
          <w:szCs w:val="21"/>
        </w:rPr>
        <w:t>285</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6.</w:t>
      </w:r>
      <w:r>
        <w:rPr>
          <w:rFonts w:hint="eastAsia" w:ascii="宋体" w:hAnsi="宋体" w:cs="Arial"/>
          <w:szCs w:val="21"/>
        </w:rPr>
        <w:t>《招标公告和公示信息发布管理办法》（国家发改委</w:t>
      </w:r>
      <w:r>
        <w:rPr>
          <w:rFonts w:ascii="宋体" w:hAnsi="宋体" w:cs="Arial"/>
          <w:szCs w:val="21"/>
        </w:rPr>
        <w:t>10</w:t>
      </w:r>
      <w:r>
        <w:rPr>
          <w:rFonts w:hint="eastAsia" w:ascii="宋体" w:hAnsi="宋体" w:cs="Arial"/>
          <w:szCs w:val="21"/>
        </w:rPr>
        <w:t>号令）；</w:t>
      </w:r>
    </w:p>
    <w:p>
      <w:pPr>
        <w:spacing w:line="360" w:lineRule="auto"/>
        <w:ind w:firstLine="420" w:firstLineChars="200"/>
        <w:rPr>
          <w:rFonts w:ascii="宋体" w:cs="Arial"/>
          <w:szCs w:val="21"/>
        </w:rPr>
      </w:pPr>
      <w:r>
        <w:rPr>
          <w:rFonts w:ascii="宋体" w:hAnsi="宋体" w:cs="Arial"/>
          <w:szCs w:val="21"/>
        </w:rPr>
        <w:t>7.</w:t>
      </w:r>
      <w:r>
        <w:rPr>
          <w:rFonts w:hint="eastAsia" w:ascii="宋体" w:hAnsi="宋体" w:cs="Arial"/>
          <w:szCs w:val="21"/>
        </w:rPr>
        <w:t>《住房和城乡建设部关于印发工程保函示范文本的通知》（建市〔</w:t>
      </w:r>
      <w:r>
        <w:rPr>
          <w:rFonts w:ascii="宋体" w:hAnsi="宋体" w:cs="Arial"/>
          <w:szCs w:val="21"/>
        </w:rPr>
        <w:t>2021</w:t>
      </w:r>
      <w:r>
        <w:rPr>
          <w:rFonts w:hint="eastAsia" w:ascii="宋体" w:hAnsi="宋体" w:cs="Arial"/>
          <w:szCs w:val="21"/>
        </w:rPr>
        <w:t>〕</w:t>
      </w:r>
      <w:r>
        <w:rPr>
          <w:rFonts w:ascii="宋体" w:hAnsi="宋体" w:cs="Arial"/>
          <w:szCs w:val="21"/>
        </w:rPr>
        <w:t>11</w:t>
      </w:r>
      <w:r>
        <w:rPr>
          <w:rFonts w:hint="eastAsia" w:ascii="宋体" w:hAnsi="宋体" w:cs="Arial"/>
          <w:szCs w:val="21"/>
        </w:rPr>
        <w:t>号）；</w:t>
      </w:r>
    </w:p>
    <w:p>
      <w:pPr>
        <w:wordWrap w:val="0"/>
        <w:topLinePunct/>
        <w:spacing w:line="360" w:lineRule="auto"/>
        <w:ind w:firstLine="420" w:firstLineChars="200"/>
        <w:rPr>
          <w:rFonts w:ascii="宋体" w:hAnsi="宋体" w:cs="Arial"/>
          <w:szCs w:val="21"/>
        </w:rPr>
      </w:pPr>
      <w:r>
        <w:rPr>
          <w:rFonts w:ascii="宋体" w:hAnsi="宋体" w:cs="Arial"/>
          <w:szCs w:val="21"/>
        </w:rPr>
        <w:t>8.</w:t>
      </w:r>
      <w:r>
        <w:rPr>
          <w:rFonts w:hint="eastAsia" w:ascii="宋体" w:hAnsi="宋体" w:cs="Arial"/>
          <w:szCs w:val="21"/>
        </w:rPr>
        <w:t>《住房城乡建设部办公厅关于规范使用建筑业企业资质证书的通知》（建办市函〔</w:t>
      </w:r>
      <w:r>
        <w:rPr>
          <w:rFonts w:ascii="宋体" w:hAnsi="宋体" w:cs="Arial"/>
          <w:szCs w:val="21"/>
        </w:rPr>
        <w:t>2016</w:t>
      </w:r>
      <w:r>
        <w:rPr>
          <w:rFonts w:hint="eastAsia" w:ascii="宋体" w:hAnsi="宋体" w:cs="Arial"/>
          <w:szCs w:val="21"/>
        </w:rPr>
        <w:t>〕</w:t>
      </w:r>
      <w:r>
        <w:rPr>
          <w:rFonts w:ascii="宋体" w:hAnsi="宋体" w:cs="Arial"/>
          <w:szCs w:val="21"/>
        </w:rPr>
        <w:t>462</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9.</w:t>
      </w:r>
      <w:r>
        <w:rPr>
          <w:rFonts w:hint="eastAsia" w:ascii="宋体" w:hAnsi="宋体" w:cs="Arial"/>
          <w:szCs w:val="21"/>
        </w:rPr>
        <w:t>《建筑工地施工专项整治治理工作方案》（建办督函〔</w:t>
      </w:r>
      <w:r>
        <w:rPr>
          <w:rFonts w:ascii="宋体" w:hAnsi="宋体" w:cs="Arial"/>
          <w:szCs w:val="21"/>
        </w:rPr>
        <w:t>2017</w:t>
      </w:r>
      <w:r>
        <w:rPr>
          <w:rFonts w:hint="eastAsia" w:ascii="宋体" w:hAnsi="宋体" w:cs="Arial"/>
          <w:szCs w:val="21"/>
        </w:rPr>
        <w:t>〕</w:t>
      </w:r>
      <w:r>
        <w:rPr>
          <w:rFonts w:ascii="宋体" w:hAnsi="宋体" w:cs="Arial"/>
          <w:szCs w:val="21"/>
        </w:rPr>
        <w:t>169</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10.</w:t>
      </w:r>
      <w:r>
        <w:rPr>
          <w:rFonts w:hint="eastAsia" w:ascii="宋体" w:hAnsi="宋体" w:cs="Arial"/>
          <w:szCs w:val="21"/>
        </w:rPr>
        <w:t>《住房和城乡建设部办公厅关于印发房屋建筑和市政基础设施工程施工现场新冠肺炎疫情常态化防控工作指南的通知》（建办质函〔</w:t>
      </w:r>
      <w:r>
        <w:rPr>
          <w:rFonts w:ascii="宋体" w:hAnsi="宋体" w:cs="Arial"/>
          <w:szCs w:val="21"/>
        </w:rPr>
        <w:t>2020</w:t>
      </w:r>
      <w:r>
        <w:rPr>
          <w:rFonts w:hint="eastAsia" w:ascii="宋体" w:hAnsi="宋体" w:cs="Arial"/>
          <w:szCs w:val="21"/>
        </w:rPr>
        <w:t>〕</w:t>
      </w:r>
      <w:r>
        <w:rPr>
          <w:rFonts w:ascii="宋体" w:hAnsi="宋体" w:cs="Arial"/>
          <w:szCs w:val="21"/>
        </w:rPr>
        <w:t>489</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11.</w:t>
      </w:r>
      <w:r>
        <w:rPr>
          <w:rFonts w:hint="eastAsia" w:ascii="宋体" w:hAnsi="宋体" w:cs="Arial"/>
          <w:szCs w:val="21"/>
        </w:rPr>
        <w:t>《市场监管总局关于印发</w:t>
      </w:r>
      <w:r>
        <w:rPr>
          <w:rFonts w:ascii="宋体" w:hAnsi="宋体" w:cs="Arial"/>
          <w:szCs w:val="21"/>
        </w:rPr>
        <w:t>&lt;</w:t>
      </w:r>
      <w:r>
        <w:rPr>
          <w:rFonts w:hint="eastAsia" w:ascii="宋体" w:hAnsi="宋体" w:cs="Arial"/>
          <w:szCs w:val="21"/>
        </w:rPr>
        <w:t>电子营业执照管理办法（试行）</w:t>
      </w:r>
      <w:r>
        <w:rPr>
          <w:rFonts w:ascii="宋体" w:hAnsi="宋体" w:cs="Arial"/>
          <w:szCs w:val="21"/>
        </w:rPr>
        <w:t>&gt;</w:t>
      </w:r>
      <w:r>
        <w:rPr>
          <w:rFonts w:hint="eastAsia" w:ascii="宋体" w:hAnsi="宋体" w:cs="Arial"/>
          <w:szCs w:val="21"/>
        </w:rPr>
        <w:t>的通知》（国市监注〔</w:t>
      </w:r>
      <w:r>
        <w:rPr>
          <w:rFonts w:ascii="宋体" w:hAnsi="宋体" w:cs="Arial"/>
          <w:szCs w:val="21"/>
        </w:rPr>
        <w:t>2018</w:t>
      </w:r>
      <w:r>
        <w:rPr>
          <w:rFonts w:hint="eastAsia" w:ascii="宋体" w:hAnsi="宋体" w:cs="Arial"/>
          <w:szCs w:val="21"/>
        </w:rPr>
        <w:t>〕</w:t>
      </w:r>
      <w:r>
        <w:rPr>
          <w:rFonts w:ascii="宋体" w:hAnsi="宋体" w:cs="Arial"/>
          <w:szCs w:val="21"/>
        </w:rPr>
        <w:t>249</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12.</w:t>
      </w:r>
      <w:r>
        <w:rPr>
          <w:rFonts w:hint="eastAsia" w:ascii="宋体" w:hAnsi="宋体" w:cs="Arial"/>
          <w:szCs w:val="21"/>
        </w:rPr>
        <w:t>《中国人民银行关于试点取消企业银行账户开户许可证核发的通知》（银发〔</w:t>
      </w:r>
      <w:r>
        <w:rPr>
          <w:rFonts w:ascii="宋体" w:hAnsi="宋体" w:cs="Arial"/>
          <w:szCs w:val="21"/>
        </w:rPr>
        <w:t>2018</w:t>
      </w:r>
      <w:r>
        <w:rPr>
          <w:rFonts w:hint="eastAsia" w:ascii="宋体" w:hAnsi="宋体" w:cs="Arial"/>
          <w:szCs w:val="21"/>
        </w:rPr>
        <w:t>〕</w:t>
      </w:r>
      <w:r>
        <w:rPr>
          <w:rFonts w:ascii="宋体" w:hAnsi="宋体" w:cs="Arial"/>
          <w:szCs w:val="21"/>
        </w:rPr>
        <w:t>125</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13.</w:t>
      </w:r>
      <w:r>
        <w:rPr>
          <w:rFonts w:hint="eastAsia" w:ascii="宋体" w:hAnsi="宋体" w:cs="Arial"/>
          <w:szCs w:val="21"/>
        </w:rPr>
        <w:t>《北京市建设工程施工综合定量评标办法》（京建法〔</w:t>
      </w:r>
      <w:r>
        <w:rPr>
          <w:rFonts w:ascii="宋体" w:hAnsi="宋体" w:cs="Arial"/>
          <w:szCs w:val="21"/>
        </w:rPr>
        <w:t>2016</w:t>
      </w:r>
      <w:r>
        <w:rPr>
          <w:rFonts w:hint="eastAsia" w:ascii="宋体" w:hAnsi="宋体" w:cs="Arial"/>
          <w:szCs w:val="21"/>
        </w:rPr>
        <w:t>〕</w:t>
      </w:r>
      <w:r>
        <w:rPr>
          <w:rFonts w:ascii="宋体" w:hAnsi="宋体" w:cs="Arial"/>
          <w:szCs w:val="21"/>
        </w:rPr>
        <w:t>4</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14.</w:t>
      </w:r>
      <w:r>
        <w:rPr>
          <w:rFonts w:hint="eastAsia" w:ascii="宋体" w:hAnsi="宋体" w:cs="Arial"/>
          <w:szCs w:val="21"/>
        </w:rPr>
        <w:t>《关于进一步加强和规范建设工程招标投标工作的通知》</w:t>
      </w:r>
      <w:r>
        <w:rPr>
          <w:rFonts w:ascii="宋体" w:hAnsi="宋体" w:cs="Arial"/>
          <w:szCs w:val="21"/>
        </w:rPr>
        <w:t>(</w:t>
      </w:r>
      <w:r>
        <w:rPr>
          <w:rFonts w:hint="eastAsia" w:ascii="宋体" w:hAnsi="宋体" w:cs="Arial"/>
          <w:szCs w:val="21"/>
        </w:rPr>
        <w:t>京建法〔</w:t>
      </w:r>
      <w:r>
        <w:rPr>
          <w:rFonts w:ascii="宋体" w:hAnsi="宋体" w:cs="Arial"/>
          <w:szCs w:val="21"/>
        </w:rPr>
        <w:t>2011</w:t>
      </w:r>
      <w:r>
        <w:rPr>
          <w:rFonts w:hint="eastAsia" w:ascii="宋体" w:hAnsi="宋体" w:cs="Arial"/>
          <w:szCs w:val="21"/>
        </w:rPr>
        <w:t>〕</w:t>
      </w:r>
      <w:r>
        <w:rPr>
          <w:rFonts w:ascii="宋体" w:hAnsi="宋体" w:cs="Arial"/>
          <w:szCs w:val="21"/>
        </w:rPr>
        <w:t>12</w:t>
      </w:r>
      <w:r>
        <w:rPr>
          <w:rFonts w:hint="eastAsia" w:ascii="宋体" w:hAnsi="宋体" w:cs="Arial"/>
          <w:szCs w:val="21"/>
        </w:rPr>
        <w:t>号</w:t>
      </w:r>
      <w:r>
        <w:rPr>
          <w:rFonts w:ascii="宋体" w:hAnsi="宋体" w:cs="Arial"/>
          <w:szCs w:val="21"/>
        </w:rPr>
        <w:t>)</w:t>
      </w:r>
      <w:r>
        <w:rPr>
          <w:rFonts w:hint="eastAsia" w:ascii="宋体" w:hAnsi="宋体" w:cs="Arial"/>
          <w:szCs w:val="21"/>
        </w:rPr>
        <w:t>；</w:t>
      </w:r>
    </w:p>
    <w:p>
      <w:pPr>
        <w:spacing w:line="360" w:lineRule="auto"/>
        <w:ind w:firstLine="420" w:firstLineChars="200"/>
        <w:rPr>
          <w:rFonts w:ascii="宋体" w:cs="Arial"/>
          <w:szCs w:val="21"/>
        </w:rPr>
      </w:pPr>
      <w:r>
        <w:rPr>
          <w:rFonts w:ascii="宋体" w:hAnsi="宋体" w:cs="Arial"/>
          <w:szCs w:val="21"/>
        </w:rPr>
        <w:t>15.</w:t>
      </w:r>
      <w:r>
        <w:rPr>
          <w:rFonts w:hint="eastAsia" w:ascii="宋体" w:hAnsi="宋体" w:cs="Arial"/>
          <w:szCs w:val="21"/>
        </w:rPr>
        <w:t>《北京市住房和城乡建设委员会关于进一步规范北京市房屋建筑和市政基础设施工程施工发包承包活动的通知》</w:t>
      </w:r>
      <w:r>
        <w:rPr>
          <w:rFonts w:ascii="宋体" w:hAnsi="宋体" w:cs="Arial"/>
          <w:szCs w:val="21"/>
        </w:rPr>
        <w:t>(</w:t>
      </w:r>
      <w:r>
        <w:rPr>
          <w:rFonts w:hint="eastAsia" w:ascii="宋体" w:hAnsi="宋体" w:cs="Arial"/>
          <w:szCs w:val="21"/>
        </w:rPr>
        <w:t>京建发〔</w:t>
      </w:r>
      <w:r>
        <w:rPr>
          <w:rFonts w:ascii="宋体" w:hAnsi="宋体" w:cs="Arial"/>
          <w:szCs w:val="21"/>
        </w:rPr>
        <w:t>2011</w:t>
      </w:r>
      <w:r>
        <w:rPr>
          <w:rFonts w:hint="eastAsia" w:ascii="宋体" w:hAnsi="宋体" w:cs="Arial"/>
          <w:szCs w:val="21"/>
        </w:rPr>
        <w:t>〕</w:t>
      </w:r>
      <w:r>
        <w:rPr>
          <w:rFonts w:ascii="宋体" w:hAnsi="宋体" w:cs="Arial"/>
          <w:szCs w:val="21"/>
        </w:rPr>
        <w:t>130</w:t>
      </w:r>
      <w:r>
        <w:rPr>
          <w:rFonts w:hint="eastAsia" w:ascii="宋体" w:hAnsi="宋体" w:cs="Arial"/>
          <w:szCs w:val="21"/>
        </w:rPr>
        <w:t>号</w:t>
      </w:r>
      <w:r>
        <w:rPr>
          <w:rFonts w:ascii="宋体" w:hAnsi="宋体" w:cs="Arial"/>
          <w:szCs w:val="21"/>
        </w:rPr>
        <w:t>)</w:t>
      </w:r>
      <w:r>
        <w:rPr>
          <w:rFonts w:hint="eastAsia" w:ascii="宋体" w:hAnsi="宋体" w:cs="Arial"/>
          <w:szCs w:val="21"/>
        </w:rPr>
        <w:t>；</w:t>
      </w:r>
    </w:p>
    <w:p>
      <w:pPr>
        <w:spacing w:line="360" w:lineRule="auto"/>
        <w:ind w:firstLine="420" w:firstLineChars="200"/>
        <w:rPr>
          <w:rFonts w:ascii="宋体" w:cs="Arial"/>
          <w:szCs w:val="21"/>
        </w:rPr>
      </w:pPr>
      <w:r>
        <w:rPr>
          <w:rFonts w:ascii="宋体" w:hAnsi="宋体" w:cs="Arial"/>
          <w:szCs w:val="21"/>
        </w:rPr>
        <w:t>1</w:t>
      </w:r>
      <w:r>
        <w:rPr>
          <w:rFonts w:hint="eastAsia" w:ascii="宋体" w:hAnsi="宋体" w:cs="Arial"/>
          <w:szCs w:val="21"/>
        </w:rPr>
        <w:t>6</w:t>
      </w:r>
      <w:r>
        <w:rPr>
          <w:rFonts w:ascii="宋体" w:hAnsi="宋体" w:cs="Arial"/>
          <w:szCs w:val="21"/>
        </w:rPr>
        <w:t>.</w:t>
      </w:r>
      <w:r>
        <w:rPr>
          <w:rFonts w:hint="eastAsia" w:ascii="宋体" w:hAnsi="宋体" w:cs="Arial"/>
          <w:szCs w:val="21"/>
        </w:rPr>
        <w:t>《北京市住房和城乡建设委员会关于进一步加强我市建设工程招投标管理的通知》（京建发〔</w:t>
      </w:r>
      <w:r>
        <w:rPr>
          <w:rFonts w:ascii="宋体" w:hAnsi="宋体" w:cs="Arial"/>
          <w:szCs w:val="21"/>
        </w:rPr>
        <w:t>2016</w:t>
      </w:r>
      <w:r>
        <w:rPr>
          <w:rFonts w:hint="eastAsia" w:ascii="宋体" w:hAnsi="宋体" w:cs="Arial"/>
          <w:szCs w:val="21"/>
        </w:rPr>
        <w:t>〕</w:t>
      </w:r>
      <w:r>
        <w:rPr>
          <w:rFonts w:ascii="宋体" w:hAnsi="宋体" w:cs="Arial"/>
          <w:szCs w:val="21"/>
        </w:rPr>
        <w:t>444</w:t>
      </w:r>
      <w:r>
        <w:rPr>
          <w:rFonts w:hint="eastAsia" w:ascii="宋体" w:hAnsi="宋体" w:cs="Arial"/>
          <w:szCs w:val="21"/>
        </w:rPr>
        <w:t>号）；</w:t>
      </w:r>
    </w:p>
    <w:p>
      <w:pPr>
        <w:spacing w:line="360" w:lineRule="auto"/>
        <w:ind w:firstLine="420" w:firstLineChars="200"/>
        <w:rPr>
          <w:rFonts w:ascii="宋体" w:cs="Arial"/>
          <w:szCs w:val="21"/>
        </w:rPr>
      </w:pPr>
      <w:r>
        <w:rPr>
          <w:rFonts w:ascii="宋体" w:hAnsi="宋体" w:cs="Arial"/>
          <w:szCs w:val="21"/>
        </w:rPr>
        <w:t>1</w:t>
      </w:r>
      <w:r>
        <w:rPr>
          <w:rFonts w:hint="eastAsia" w:ascii="宋体" w:hAnsi="宋体" w:cs="Arial"/>
          <w:szCs w:val="21"/>
        </w:rPr>
        <w:t>7</w:t>
      </w:r>
      <w:r>
        <w:rPr>
          <w:rFonts w:ascii="宋体" w:hAnsi="宋体" w:cs="Arial"/>
          <w:szCs w:val="21"/>
        </w:rPr>
        <w:t>.</w:t>
      </w:r>
      <w:r>
        <w:rPr>
          <w:rFonts w:hint="eastAsia" w:ascii="宋体" w:hAnsi="宋体" w:cs="Arial"/>
          <w:szCs w:val="21"/>
        </w:rPr>
        <w:t>《关于做好工程建设项目审批制度改革试点工作的通知（京建发〔</w:t>
      </w:r>
      <w:r>
        <w:rPr>
          <w:rFonts w:ascii="宋体" w:hAnsi="宋体" w:cs="Arial"/>
          <w:szCs w:val="21"/>
        </w:rPr>
        <w:t>2018</w:t>
      </w:r>
      <w:r>
        <w:rPr>
          <w:rFonts w:hint="eastAsia" w:ascii="宋体" w:hAnsi="宋体" w:cs="Arial"/>
          <w:szCs w:val="21"/>
        </w:rPr>
        <w:t>〕</w:t>
      </w:r>
      <w:r>
        <w:rPr>
          <w:rFonts w:ascii="宋体" w:hAnsi="宋体" w:cs="Arial"/>
          <w:szCs w:val="21"/>
        </w:rPr>
        <w:t>470</w:t>
      </w:r>
      <w:r>
        <w:rPr>
          <w:rFonts w:hint="eastAsia" w:ascii="宋体" w:hAnsi="宋体" w:cs="Arial"/>
          <w:szCs w:val="21"/>
        </w:rPr>
        <w:t>号）》；</w:t>
      </w:r>
    </w:p>
    <w:p>
      <w:pPr>
        <w:spacing w:line="360" w:lineRule="auto"/>
        <w:ind w:firstLine="420" w:firstLineChars="200"/>
        <w:rPr>
          <w:rFonts w:ascii="宋体" w:hAnsi="宋体" w:cs="Arial"/>
          <w:szCs w:val="21"/>
        </w:rPr>
      </w:pPr>
      <w:r>
        <w:rPr>
          <w:rFonts w:ascii="宋体" w:hAnsi="宋体" w:cs="Arial"/>
          <w:szCs w:val="21"/>
        </w:rPr>
        <w:t>1</w:t>
      </w:r>
      <w:r>
        <w:rPr>
          <w:rFonts w:hint="eastAsia" w:ascii="宋体" w:hAnsi="宋体" w:cs="Arial"/>
          <w:szCs w:val="21"/>
        </w:rPr>
        <w:t>8</w:t>
      </w:r>
      <w:r>
        <w:rPr>
          <w:rFonts w:ascii="宋体" w:hAnsi="宋体" w:cs="Arial"/>
          <w:szCs w:val="21"/>
        </w:rPr>
        <w:t>.</w:t>
      </w:r>
      <w:r>
        <w:rPr>
          <w:rFonts w:hint="eastAsia" w:ascii="宋体" w:hAnsi="宋体" w:cs="Arial"/>
          <w:szCs w:val="21"/>
        </w:rPr>
        <w:t>《北京市住房和城乡建设委员会关于印发</w:t>
      </w:r>
      <w:r>
        <w:rPr>
          <w:rFonts w:ascii="宋体" w:hAnsi="宋体" w:cs="Arial"/>
          <w:szCs w:val="21"/>
        </w:rPr>
        <w:t>&lt;</w:t>
      </w:r>
      <w:r>
        <w:rPr>
          <w:rFonts w:hint="eastAsia" w:ascii="宋体" w:hAnsi="宋体" w:cs="Arial"/>
          <w:szCs w:val="21"/>
        </w:rPr>
        <w:t>北京市建设工程安全文明施工费管理办法（试行）</w:t>
      </w:r>
      <w:r>
        <w:rPr>
          <w:rFonts w:ascii="宋体" w:hAnsi="宋体" w:cs="Arial"/>
          <w:szCs w:val="21"/>
        </w:rPr>
        <w:t>&gt;</w:t>
      </w:r>
      <w:r>
        <w:rPr>
          <w:rFonts w:hint="eastAsia" w:ascii="宋体" w:hAnsi="宋体" w:cs="Arial"/>
          <w:szCs w:val="21"/>
        </w:rPr>
        <w:t>的通知》（京建法〔</w:t>
      </w:r>
      <w:r>
        <w:rPr>
          <w:rFonts w:ascii="宋体" w:hAnsi="宋体" w:cs="Arial"/>
          <w:szCs w:val="21"/>
        </w:rPr>
        <w:t>2019</w:t>
      </w:r>
      <w:r>
        <w:rPr>
          <w:rFonts w:hint="eastAsia" w:ascii="宋体" w:hAnsi="宋体" w:cs="Arial"/>
          <w:szCs w:val="21"/>
        </w:rPr>
        <w:t>〕</w:t>
      </w:r>
      <w:r>
        <w:rPr>
          <w:rFonts w:ascii="宋体" w:hAnsi="宋体" w:cs="Arial"/>
          <w:szCs w:val="21"/>
        </w:rPr>
        <w:t>9</w:t>
      </w:r>
      <w:r>
        <w:rPr>
          <w:rFonts w:hint="eastAsia" w:ascii="宋体" w:hAnsi="宋体" w:cs="Arial"/>
          <w:szCs w:val="21"/>
        </w:rPr>
        <w:t>号）；</w:t>
      </w:r>
    </w:p>
    <w:p>
      <w:pPr>
        <w:spacing w:line="360" w:lineRule="auto"/>
        <w:ind w:firstLine="420" w:firstLineChars="200"/>
        <w:rPr>
          <w:rFonts w:ascii="宋体" w:hAnsi="宋体" w:cs="Arial"/>
          <w:szCs w:val="21"/>
        </w:rPr>
      </w:pPr>
      <w:bookmarkStart w:id="2" w:name="_Hlk114643605"/>
      <w:r>
        <w:rPr>
          <w:rFonts w:hint="eastAsia" w:ascii="宋体" w:hAnsi="宋体" w:cs="Arial"/>
          <w:szCs w:val="21"/>
        </w:rPr>
        <w:t>19</w:t>
      </w:r>
      <w:r>
        <w:rPr>
          <w:rFonts w:ascii="宋体" w:hAnsi="宋体" w:cs="Arial"/>
          <w:szCs w:val="21"/>
        </w:rPr>
        <w:t>.</w:t>
      </w:r>
      <w:r>
        <w:rPr>
          <w:rFonts w:hint="eastAsia" w:ascii="宋体" w:hAnsi="宋体" w:cs="Arial"/>
          <w:szCs w:val="21"/>
        </w:rPr>
        <w:t>《北京市住房和城乡建设委员会关于执行2018年</w:t>
      </w:r>
      <w:r>
        <w:rPr>
          <w:rFonts w:ascii="宋体" w:hAnsi="宋体" w:cs="Arial"/>
          <w:szCs w:val="21"/>
        </w:rPr>
        <w:t>&lt;</w:t>
      </w:r>
      <w:r>
        <w:rPr>
          <w:rFonts w:hint="eastAsia" w:ascii="宋体" w:hAnsi="宋体" w:cs="Arial"/>
          <w:szCs w:val="21"/>
        </w:rPr>
        <w:t>北京市建设工程工期定额</w:t>
      </w:r>
      <w:r>
        <w:rPr>
          <w:rFonts w:ascii="宋体" w:hAnsi="宋体" w:cs="Arial"/>
          <w:szCs w:val="21"/>
        </w:rPr>
        <w:t>&gt;</w:t>
      </w:r>
      <w:r>
        <w:rPr>
          <w:rFonts w:hint="eastAsia" w:ascii="宋体" w:hAnsi="宋体" w:cs="Arial"/>
          <w:szCs w:val="21"/>
        </w:rPr>
        <w:t>和2018年</w:t>
      </w:r>
      <w:r>
        <w:rPr>
          <w:rFonts w:ascii="宋体" w:hAnsi="宋体" w:cs="Arial"/>
          <w:szCs w:val="21"/>
        </w:rPr>
        <w:t>&lt;</w:t>
      </w:r>
      <w:r>
        <w:rPr>
          <w:rFonts w:hint="eastAsia" w:ascii="宋体" w:hAnsi="宋体" w:cs="Arial"/>
          <w:szCs w:val="21"/>
        </w:rPr>
        <w:t>北京市房屋修缮工程工期定额</w:t>
      </w:r>
      <w:r>
        <w:rPr>
          <w:rFonts w:ascii="宋体" w:hAnsi="宋体" w:cs="Arial"/>
          <w:szCs w:val="21"/>
        </w:rPr>
        <w:t>&gt;</w:t>
      </w:r>
      <w:r>
        <w:rPr>
          <w:rFonts w:hint="eastAsia" w:ascii="宋体" w:hAnsi="宋体" w:cs="Arial"/>
          <w:szCs w:val="21"/>
        </w:rPr>
        <w:t>的通知》（京建法[2019]4号）；</w:t>
      </w:r>
    </w:p>
    <w:p>
      <w:pPr>
        <w:spacing w:line="360" w:lineRule="auto"/>
        <w:ind w:firstLine="420" w:firstLineChars="200"/>
        <w:rPr>
          <w:rFonts w:ascii="宋体" w:hAnsi="宋体" w:cs="Arial"/>
          <w:szCs w:val="21"/>
        </w:rPr>
      </w:pPr>
      <w:r>
        <w:rPr>
          <w:rFonts w:ascii="宋体" w:hAnsi="宋体" w:cs="Arial"/>
          <w:szCs w:val="21"/>
        </w:rPr>
        <w:t>20.</w:t>
      </w:r>
      <w:r>
        <w:rPr>
          <w:rFonts w:hint="eastAsia" w:ascii="宋体" w:hAnsi="宋体" w:cs="Arial"/>
          <w:szCs w:val="21"/>
        </w:rPr>
        <w:t>《北京市住房和城乡建设委员会印发</w:t>
      </w:r>
      <w:r>
        <w:rPr>
          <w:rFonts w:ascii="宋体" w:hAnsi="宋体" w:cs="Arial"/>
          <w:szCs w:val="21"/>
        </w:rPr>
        <w:t>&lt;</w:t>
      </w:r>
      <w:r>
        <w:rPr>
          <w:rFonts w:hint="eastAsia" w:ascii="宋体" w:hAnsi="宋体" w:cs="Arial"/>
          <w:szCs w:val="21"/>
        </w:rPr>
        <w:t>关于进一步做好受新冠肺炎疫情影响工程造价和工期调整工作的指导意见</w:t>
      </w:r>
      <w:r>
        <w:rPr>
          <w:rFonts w:ascii="宋体" w:hAnsi="宋体" w:cs="Arial"/>
          <w:szCs w:val="21"/>
        </w:rPr>
        <w:t>&gt;</w:t>
      </w:r>
      <w:r>
        <w:rPr>
          <w:rFonts w:hint="eastAsia" w:ascii="宋体" w:hAnsi="宋体" w:cs="Arial"/>
          <w:szCs w:val="21"/>
        </w:rPr>
        <w:t>的通知》（京建发〔2022〕176号）；</w:t>
      </w:r>
    </w:p>
    <w:p>
      <w:pPr>
        <w:spacing w:line="360" w:lineRule="auto"/>
        <w:ind w:firstLine="420" w:firstLineChars="200"/>
        <w:rPr>
          <w:rFonts w:ascii="宋体" w:hAnsi="宋体" w:cs="Arial"/>
          <w:szCs w:val="21"/>
        </w:rPr>
      </w:pPr>
      <w:r>
        <w:rPr>
          <w:rFonts w:ascii="宋体" w:hAnsi="宋体" w:cs="Arial"/>
          <w:szCs w:val="21"/>
        </w:rPr>
        <w:t>21.</w:t>
      </w:r>
      <w:r>
        <w:rPr>
          <w:rFonts w:hint="eastAsia" w:ascii="宋体" w:hAnsi="宋体" w:cs="Arial"/>
          <w:szCs w:val="21"/>
        </w:rPr>
        <w:t>《北京市住房和城乡建设委员会关于明确安全文明施工费中常态化疫情防控措施费用标准的通知》（京建发〔2022〕190号）；</w:t>
      </w:r>
    </w:p>
    <w:bookmarkEnd w:id="2"/>
    <w:p>
      <w:pPr>
        <w:spacing w:line="360" w:lineRule="auto"/>
        <w:ind w:firstLine="420" w:firstLineChars="200"/>
        <w:rPr>
          <w:rFonts w:ascii="宋体" w:hAnsi="宋体" w:cs="Arial"/>
          <w:szCs w:val="21"/>
        </w:rPr>
      </w:pPr>
      <w:r>
        <w:rPr>
          <w:rFonts w:ascii="宋体" w:hAnsi="宋体" w:cs="Arial"/>
          <w:szCs w:val="21"/>
        </w:rPr>
        <w:t>22.</w:t>
      </w:r>
      <w:r>
        <w:rPr>
          <w:rFonts w:hint="eastAsia" w:ascii="宋体" w:hAnsi="宋体" w:cs="Arial"/>
          <w:szCs w:val="21"/>
        </w:rPr>
        <w:t>《关于推行安全生产许可证电子化证书的通知》（京建发〔</w:t>
      </w:r>
      <w:r>
        <w:rPr>
          <w:rFonts w:ascii="宋体" w:hAnsi="宋体" w:cs="Arial"/>
          <w:szCs w:val="21"/>
        </w:rPr>
        <w:t>2019</w:t>
      </w:r>
      <w:r>
        <w:rPr>
          <w:rFonts w:hint="eastAsia" w:ascii="宋体" w:hAnsi="宋体" w:cs="Arial"/>
          <w:szCs w:val="21"/>
        </w:rPr>
        <w:t>〕</w:t>
      </w:r>
      <w:r>
        <w:rPr>
          <w:rFonts w:ascii="宋体" w:hAnsi="宋体" w:cs="Arial"/>
          <w:szCs w:val="21"/>
        </w:rPr>
        <w:t>161</w:t>
      </w:r>
      <w:r>
        <w:rPr>
          <w:rFonts w:hint="eastAsia" w:ascii="宋体" w:hAnsi="宋体" w:cs="Arial"/>
          <w:szCs w:val="21"/>
        </w:rPr>
        <w:t>号）；</w:t>
      </w:r>
    </w:p>
    <w:p>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3</w:t>
      </w:r>
      <w:r>
        <w:rPr>
          <w:rFonts w:hint="eastAsia" w:ascii="宋体" w:hAnsi="宋体" w:cs="Arial"/>
          <w:szCs w:val="21"/>
        </w:rPr>
        <w:t>.《关于切实加强建筑垃圾源头治理工作的通知》（京建发〔2019〕253号）；</w:t>
      </w:r>
    </w:p>
    <w:p>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4</w:t>
      </w:r>
      <w:r>
        <w:rPr>
          <w:rFonts w:hint="eastAsia" w:ascii="宋体" w:hAnsi="宋体" w:cs="Arial"/>
          <w:szCs w:val="21"/>
        </w:rPr>
        <w:t>.《北京市住房和城乡建设委员会印发</w:t>
      </w:r>
      <w:r>
        <w:rPr>
          <w:rFonts w:ascii="宋体" w:hAnsi="宋体" w:cs="Arial"/>
          <w:szCs w:val="21"/>
        </w:rPr>
        <w:t>&lt;</w:t>
      </w:r>
      <w:r>
        <w:rPr>
          <w:rFonts w:hint="eastAsia" w:ascii="宋体" w:hAnsi="宋体" w:cs="Arial"/>
          <w:szCs w:val="21"/>
        </w:rPr>
        <w:t>关于加强建设工程施工合同中人工、材料等市场价格风险防范与控制的指导意见</w:t>
      </w:r>
      <w:r>
        <w:rPr>
          <w:rFonts w:ascii="宋体" w:hAnsi="宋体" w:cs="Arial"/>
          <w:szCs w:val="21"/>
        </w:rPr>
        <w:t>&gt;</w:t>
      </w:r>
      <w:r>
        <w:rPr>
          <w:rFonts w:hint="eastAsia" w:ascii="宋体" w:hAnsi="宋体" w:cs="Arial"/>
          <w:szCs w:val="21"/>
        </w:rPr>
        <w:t>的通知》（京建发〔2021〕270号）；</w:t>
      </w:r>
    </w:p>
    <w:p>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5.</w:t>
      </w:r>
      <w:r>
        <w:rPr>
          <w:rFonts w:hint="eastAsia" w:ascii="宋体" w:hAnsi="宋体" w:cs="Arial"/>
          <w:szCs w:val="21"/>
        </w:rPr>
        <w:t>《北京市住房和城乡建设委员会关于印发</w:t>
      </w:r>
      <w:r>
        <w:rPr>
          <w:rFonts w:ascii="宋体" w:hAnsi="宋体" w:cs="Arial"/>
          <w:szCs w:val="21"/>
        </w:rPr>
        <w:t>&lt;</w:t>
      </w:r>
      <w:r>
        <w:rPr>
          <w:rFonts w:hint="eastAsia" w:ascii="宋体" w:hAnsi="宋体" w:cs="Arial"/>
          <w:szCs w:val="21"/>
        </w:rPr>
        <w:t>关于执行2021年《北京市建设工程计价依据—预算消耗量标准》和《北京市房屋修缮工程计价依据——预算消耗量标准》的规定</w:t>
      </w:r>
      <w:r>
        <w:rPr>
          <w:rFonts w:ascii="宋体" w:hAnsi="宋体" w:cs="Arial"/>
          <w:szCs w:val="21"/>
        </w:rPr>
        <w:t>&gt;</w:t>
      </w:r>
      <w:r>
        <w:rPr>
          <w:rFonts w:hint="eastAsia" w:ascii="宋体" w:hAnsi="宋体" w:cs="Arial"/>
          <w:szCs w:val="21"/>
        </w:rPr>
        <w:t>的通知》（京建法〔2021〕11号）；</w:t>
      </w:r>
    </w:p>
    <w:p>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6</w:t>
      </w:r>
      <w:r>
        <w:rPr>
          <w:rFonts w:hint="eastAsia" w:ascii="宋体" w:hAnsi="宋体" w:cs="Arial"/>
          <w:szCs w:val="21"/>
        </w:rPr>
        <w:t>.《北京市住房和城乡建设委员会关于修改和废止部分规范性文件的通知》（京建法〔2021〕9号）；</w:t>
      </w:r>
    </w:p>
    <w:p>
      <w:pPr>
        <w:spacing w:line="360" w:lineRule="auto"/>
        <w:ind w:firstLine="420" w:firstLineChars="200"/>
        <w:rPr>
          <w:rFonts w:ascii="宋体" w:hAnsi="宋体" w:cs="Arial"/>
          <w:szCs w:val="21"/>
        </w:rPr>
      </w:pPr>
      <w:bookmarkStart w:id="3" w:name="_Hlk114643663"/>
      <w:r>
        <w:rPr>
          <w:rFonts w:ascii="宋体" w:hAnsi="宋体" w:cs="Arial"/>
          <w:szCs w:val="21"/>
        </w:rPr>
        <w:t>27.</w:t>
      </w:r>
      <w:r>
        <w:rPr>
          <w:rFonts w:hint="eastAsia" w:ascii="宋体" w:hAnsi="宋体" w:cs="Arial"/>
          <w:szCs w:val="21"/>
        </w:rPr>
        <w:t>《北京市住房和城乡建设委员会关于进一步落实招标人主体责任加强招标投标服务监管有关工作的通知》（京建发〔</w:t>
      </w:r>
      <w:r>
        <w:rPr>
          <w:rFonts w:ascii="宋体" w:hAnsi="宋体" w:cs="Arial"/>
          <w:szCs w:val="21"/>
        </w:rPr>
        <w:t>2022〕79号）</w:t>
      </w:r>
      <w:r>
        <w:rPr>
          <w:rFonts w:hint="eastAsia" w:ascii="宋体" w:hAnsi="宋体" w:cs="Arial"/>
          <w:szCs w:val="21"/>
        </w:rPr>
        <w:t>；</w:t>
      </w:r>
    </w:p>
    <w:p>
      <w:pPr>
        <w:spacing w:line="360" w:lineRule="auto"/>
        <w:ind w:firstLine="420" w:firstLineChars="200"/>
        <w:rPr>
          <w:rFonts w:ascii="宋体" w:hAnsi="宋体" w:cs="Arial"/>
          <w:szCs w:val="21"/>
        </w:rPr>
      </w:pPr>
      <w:r>
        <w:rPr>
          <w:rFonts w:ascii="宋体" w:hAnsi="宋体" w:cs="Arial"/>
          <w:szCs w:val="21"/>
        </w:rPr>
        <w:t>28.《关于合理确定建设工程工期和规范工期管理的指导意见》的通知（京建发〔2022〕236号</w:t>
      </w:r>
      <w:r>
        <w:rPr>
          <w:rFonts w:hint="eastAsia" w:ascii="宋体" w:hAnsi="宋体" w:cs="Arial"/>
          <w:szCs w:val="21"/>
        </w:rPr>
        <w:t>）；</w:t>
      </w:r>
    </w:p>
    <w:p>
      <w:pPr>
        <w:spacing w:line="360" w:lineRule="auto"/>
        <w:ind w:firstLine="420" w:firstLineChars="200"/>
        <w:rPr>
          <w:rFonts w:ascii="宋体" w:hAnsi="宋体" w:cs="Arial"/>
          <w:szCs w:val="21"/>
        </w:rPr>
      </w:pPr>
      <w:r>
        <w:rPr>
          <w:rFonts w:ascii="宋体" w:hAnsi="宋体" w:cs="Arial"/>
          <w:szCs w:val="21"/>
        </w:rPr>
        <w:t>29.</w:t>
      </w:r>
      <w:r>
        <w:rPr>
          <w:rFonts w:hint="eastAsia" w:ascii="宋体" w:hAnsi="宋体" w:cs="Arial"/>
          <w:szCs w:val="21"/>
        </w:rPr>
        <w:t>《关于进一步加大政府采购支持中小企业力度的通知》（财库〔</w:t>
      </w:r>
      <w:r>
        <w:rPr>
          <w:rFonts w:ascii="宋体" w:hAnsi="宋体" w:cs="Arial"/>
          <w:szCs w:val="21"/>
        </w:rPr>
        <w:t>2022〕19号）；</w:t>
      </w:r>
    </w:p>
    <w:p>
      <w:pPr>
        <w:spacing w:line="360" w:lineRule="auto"/>
        <w:ind w:firstLine="420" w:firstLineChars="200"/>
        <w:rPr>
          <w:rFonts w:ascii="宋体" w:hAnsi="宋体" w:cs="Arial"/>
          <w:szCs w:val="21"/>
        </w:rPr>
      </w:pPr>
      <w:r>
        <w:rPr>
          <w:rFonts w:ascii="宋体" w:hAnsi="宋体" w:cs="Arial"/>
          <w:szCs w:val="21"/>
        </w:rPr>
        <w:t>30.《北京市统筹疫情防控和稳定经济增长的实施方案》（京政发〔2022〕23号）；</w:t>
      </w:r>
    </w:p>
    <w:p>
      <w:pPr>
        <w:spacing w:line="360" w:lineRule="auto"/>
        <w:ind w:firstLine="420" w:firstLineChars="200"/>
        <w:rPr>
          <w:rFonts w:ascii="宋体" w:hAnsi="宋体" w:cs="Arial"/>
          <w:szCs w:val="21"/>
        </w:rPr>
      </w:pPr>
      <w:r>
        <w:rPr>
          <w:rFonts w:ascii="宋体" w:hAnsi="宋体" w:cs="Arial"/>
          <w:szCs w:val="21"/>
        </w:rPr>
        <w:t>31.《北京市财政局关于落实好政府采购支持中小企业发展的通知》（京财采购〔2022〕1143号）文件；</w:t>
      </w:r>
    </w:p>
    <w:bookmarkEnd w:id="3"/>
    <w:p>
      <w:pPr>
        <w:spacing w:line="360" w:lineRule="auto"/>
        <w:ind w:firstLine="420" w:firstLineChars="200"/>
        <w:rPr>
          <w:rFonts w:ascii="宋体" w:hAnsi="宋体" w:cs="Arial"/>
          <w:szCs w:val="21"/>
        </w:rPr>
      </w:pPr>
      <w:r>
        <w:rPr>
          <w:rFonts w:ascii="宋体" w:hAnsi="宋体" w:cs="Arial"/>
          <w:szCs w:val="21"/>
        </w:rPr>
        <w:t>32.</w:t>
      </w:r>
      <w:r>
        <w:rPr>
          <w:rFonts w:hint="eastAsia" w:ascii="宋体" w:hAnsi="宋体" w:cs="Arial"/>
          <w:szCs w:val="21"/>
        </w:rPr>
        <w:t>其他有关法律、法规、规章和规范性文件。</w:t>
      </w:r>
    </w:p>
    <w:p>
      <w:pPr>
        <w:spacing w:line="360" w:lineRule="auto"/>
        <w:ind w:firstLine="420" w:firstLineChars="200"/>
        <w:rPr>
          <w:rFonts w:ascii="宋体" w:hAnsi="宋体" w:cs="Arial"/>
          <w:szCs w:val="21"/>
        </w:rPr>
      </w:pPr>
    </w:p>
    <w:p>
      <w:pPr>
        <w:spacing w:line="360" w:lineRule="auto"/>
        <w:rPr>
          <w:b/>
        </w:rPr>
      </w:pPr>
      <w:r>
        <w:rPr>
          <w:rFonts w:hint="eastAsia"/>
          <w:b/>
        </w:rPr>
        <w:t>三、《标准文本（</w:t>
      </w:r>
      <w:r>
        <w:rPr>
          <w:b/>
        </w:rPr>
        <w:t>2017</w:t>
      </w:r>
      <w:r>
        <w:rPr>
          <w:rFonts w:hint="eastAsia"/>
          <w:b/>
        </w:rPr>
        <w:t>版）》的优化编制原则</w:t>
      </w:r>
    </w:p>
    <w:p>
      <w:pPr>
        <w:spacing w:line="360" w:lineRule="auto"/>
        <w:ind w:firstLine="420" w:firstLineChars="200"/>
        <w:rPr>
          <w:rFonts w:ascii="宋体" w:cs="Arial"/>
          <w:szCs w:val="21"/>
        </w:rPr>
      </w:pPr>
      <w:r>
        <w:rPr>
          <w:rFonts w:ascii="宋体" w:hAnsi="宋体" w:cs="Arial"/>
          <w:szCs w:val="21"/>
        </w:rPr>
        <w:t>1.</w:t>
      </w:r>
      <w:r>
        <w:rPr>
          <w:rFonts w:hint="eastAsia" w:ascii="宋体" w:hAnsi="宋体" w:cs="Arial"/>
          <w:szCs w:val="21"/>
        </w:rPr>
        <w:t>依法合规，注重实效</w:t>
      </w:r>
    </w:p>
    <w:p>
      <w:pPr>
        <w:spacing w:line="360" w:lineRule="auto"/>
        <w:ind w:firstLine="420" w:firstLineChars="200"/>
        <w:rPr>
          <w:rFonts w:ascii="宋体" w:cs="Arial"/>
          <w:szCs w:val="21"/>
        </w:rPr>
      </w:pPr>
      <w:r>
        <w:rPr>
          <w:rFonts w:hint="eastAsia" w:ascii="宋体" w:hAnsi="宋体" w:cs="Arial"/>
          <w:szCs w:val="21"/>
        </w:rPr>
        <w:t>严格遵守建设工程招投标现行法律、法规、规章、规范性文件及工程监理规范，本着“强监管、优服务、促公平”为原则，以充分体现“公开、公平、公正和诚实信用”为宗旨，结合全程电子化招投标管理工作需要，有效解决当前招投标活动中存在的突出问题。</w:t>
      </w:r>
    </w:p>
    <w:p>
      <w:pPr>
        <w:spacing w:line="360" w:lineRule="auto"/>
        <w:ind w:firstLine="420" w:firstLineChars="200"/>
        <w:rPr>
          <w:rFonts w:ascii="宋体" w:cs="Arial"/>
          <w:szCs w:val="21"/>
        </w:rPr>
      </w:pPr>
      <w:bookmarkStart w:id="4" w:name="_Hlk114070003"/>
      <w:r>
        <w:rPr>
          <w:rFonts w:ascii="宋体" w:hAnsi="宋体" w:cs="Arial"/>
          <w:szCs w:val="21"/>
        </w:rPr>
        <w:t>2.</w:t>
      </w:r>
      <w:r>
        <w:rPr>
          <w:rFonts w:hint="eastAsia" w:ascii="宋体" w:hAnsi="宋体" w:cs="Arial"/>
          <w:szCs w:val="21"/>
        </w:rPr>
        <w:t>继承发展，简明适用</w:t>
      </w:r>
    </w:p>
    <w:p>
      <w:pPr>
        <w:spacing w:line="360" w:lineRule="auto"/>
        <w:ind w:firstLine="420" w:firstLineChars="200"/>
        <w:rPr>
          <w:rFonts w:ascii="宋体" w:cs="Arial"/>
          <w:szCs w:val="21"/>
        </w:rPr>
      </w:pPr>
      <w:r>
        <w:rPr>
          <w:rFonts w:hint="eastAsia" w:ascii="宋体" w:hAnsi="宋体" w:cs="Arial"/>
          <w:szCs w:val="21"/>
        </w:rPr>
        <w:t>在《北京市房屋建筑和市政工程施工招标文件标准文本（</w:t>
      </w:r>
      <w:r>
        <w:rPr>
          <w:rFonts w:ascii="宋体" w:hAnsi="宋体" w:cs="Arial"/>
          <w:szCs w:val="21"/>
        </w:rPr>
        <w:t>2017</w:t>
      </w:r>
      <w:r>
        <w:rPr>
          <w:rFonts w:hint="eastAsia" w:ascii="宋体" w:hAnsi="宋体" w:cs="Arial"/>
          <w:szCs w:val="21"/>
        </w:rPr>
        <w:t>版）》（以下简称《标准文本》（</w:t>
      </w:r>
      <w:r>
        <w:rPr>
          <w:rFonts w:ascii="宋体" w:hAnsi="宋体" w:cs="Arial"/>
          <w:szCs w:val="21"/>
        </w:rPr>
        <w:t>2017</w:t>
      </w:r>
      <w:r>
        <w:rPr>
          <w:rFonts w:hint="eastAsia" w:ascii="宋体" w:hAnsi="宋体" w:cs="Arial"/>
          <w:szCs w:val="21"/>
        </w:rPr>
        <w:t>版））的基础上，结合现行招标投标工作实际，以及社会各方主体对《标准文本》（</w:t>
      </w:r>
      <w:r>
        <w:rPr>
          <w:rFonts w:ascii="宋体" w:hAnsi="宋体" w:cs="Arial"/>
          <w:szCs w:val="21"/>
        </w:rPr>
        <w:t>2017</w:t>
      </w:r>
      <w:r>
        <w:rPr>
          <w:rFonts w:hint="eastAsia" w:ascii="宋体" w:hAnsi="宋体" w:cs="Arial"/>
          <w:szCs w:val="21"/>
        </w:rPr>
        <w:t>版）使用意见和需求，对《标准文本》（</w:t>
      </w:r>
      <w:r>
        <w:rPr>
          <w:rFonts w:ascii="宋体" w:hAnsi="宋体" w:cs="Arial"/>
          <w:szCs w:val="21"/>
        </w:rPr>
        <w:t>2017</w:t>
      </w:r>
      <w:r>
        <w:rPr>
          <w:rFonts w:hint="eastAsia" w:ascii="宋体" w:hAnsi="宋体" w:cs="Arial"/>
          <w:szCs w:val="21"/>
        </w:rPr>
        <w:t>版）相关内容进行了优化调整，使《标准文本（</w:t>
      </w:r>
      <w:r>
        <w:rPr>
          <w:rFonts w:ascii="宋体" w:hAnsi="宋体" w:cs="Arial"/>
          <w:szCs w:val="21"/>
        </w:rPr>
        <w:t>2017</w:t>
      </w:r>
      <w:r>
        <w:rPr>
          <w:rFonts w:hint="eastAsia" w:ascii="宋体" w:hAnsi="宋体" w:cs="Arial"/>
          <w:szCs w:val="21"/>
        </w:rPr>
        <w:t>版）》具有更强的针对性和适用性。</w:t>
      </w:r>
    </w:p>
    <w:bookmarkEnd w:id="4"/>
    <w:p>
      <w:pPr>
        <w:spacing w:line="360" w:lineRule="auto"/>
        <w:ind w:firstLine="420" w:firstLineChars="200"/>
        <w:rPr>
          <w:rFonts w:ascii="宋体" w:cs="Arial"/>
          <w:szCs w:val="21"/>
        </w:rPr>
      </w:pPr>
      <w:r>
        <w:rPr>
          <w:rFonts w:ascii="宋体" w:hAnsi="宋体" w:cs="Arial"/>
          <w:szCs w:val="21"/>
        </w:rPr>
        <w:t>3.</w:t>
      </w:r>
      <w:r>
        <w:rPr>
          <w:rFonts w:hint="eastAsia" w:ascii="宋体" w:hAnsi="宋体" w:cs="Arial"/>
          <w:szCs w:val="21"/>
        </w:rPr>
        <w:t>全面系统，规范严谨</w:t>
      </w:r>
    </w:p>
    <w:p>
      <w:pPr>
        <w:spacing w:line="360" w:lineRule="auto"/>
        <w:ind w:firstLine="420" w:firstLineChars="200"/>
        <w:rPr>
          <w:rFonts w:ascii="宋体" w:cs="Arial"/>
          <w:szCs w:val="21"/>
        </w:rPr>
      </w:pPr>
      <w:r>
        <w:rPr>
          <w:rFonts w:hint="eastAsia" w:ascii="宋体" w:hAnsi="宋体" w:cs="Arial"/>
          <w:szCs w:val="21"/>
        </w:rPr>
        <w:t>《标准文本（</w:t>
      </w:r>
      <w:r>
        <w:rPr>
          <w:rFonts w:ascii="宋体" w:hAnsi="宋体" w:cs="Arial"/>
          <w:szCs w:val="21"/>
        </w:rPr>
        <w:t>2017</w:t>
      </w:r>
      <w:r>
        <w:rPr>
          <w:rFonts w:hint="eastAsia" w:ascii="宋体" w:hAnsi="宋体" w:cs="Arial"/>
          <w:szCs w:val="21"/>
        </w:rPr>
        <w:t>版）》实现了系统化和模块化。力求法言法语、表述简练、规范严谨；针对某一事项界定尽可能在一个条款内完整表述，不重复表述、避免相互指引。</w:t>
      </w:r>
    </w:p>
    <w:p>
      <w:pPr>
        <w:spacing w:line="360" w:lineRule="auto"/>
        <w:ind w:firstLine="420" w:firstLineChars="200"/>
        <w:rPr>
          <w:rFonts w:ascii="宋体" w:cs="Arial"/>
          <w:szCs w:val="21"/>
        </w:rPr>
      </w:pPr>
      <w:r>
        <w:rPr>
          <w:rFonts w:ascii="宋体" w:hAnsi="宋体" w:cs="Arial"/>
          <w:szCs w:val="21"/>
        </w:rPr>
        <w:t>4.</w:t>
      </w:r>
      <w:r>
        <w:rPr>
          <w:rFonts w:hint="eastAsia" w:ascii="宋体" w:hAnsi="宋体" w:cs="Arial"/>
          <w:szCs w:val="21"/>
        </w:rPr>
        <w:t>与时俱进，合理创新</w:t>
      </w:r>
    </w:p>
    <w:p>
      <w:pPr>
        <w:spacing w:line="360" w:lineRule="auto"/>
        <w:ind w:firstLine="420" w:firstLineChars="200"/>
        <w:rPr>
          <w:rFonts w:ascii="宋体" w:hAnsi="宋体" w:cs="Arial"/>
          <w:szCs w:val="21"/>
        </w:rPr>
      </w:pPr>
      <w:r>
        <w:rPr>
          <w:rFonts w:hint="eastAsia" w:ascii="宋体" w:hAnsi="宋体" w:cs="Arial"/>
          <w:szCs w:val="21"/>
        </w:rPr>
        <w:t>综合考虑创新管理模式和发展方向，统筹兼顾国内和国际通行做法，使《标准文本（</w:t>
      </w:r>
      <w:r>
        <w:rPr>
          <w:rFonts w:ascii="宋体" w:hAnsi="宋体" w:cs="Arial"/>
          <w:szCs w:val="21"/>
        </w:rPr>
        <w:t>2017</w:t>
      </w:r>
      <w:r>
        <w:rPr>
          <w:rFonts w:hint="eastAsia" w:ascii="宋体" w:hAnsi="宋体" w:cs="Arial"/>
          <w:szCs w:val="21"/>
        </w:rPr>
        <w:t>版）》具有适度的先进性，能够与时俱进，并合理创新。</w:t>
      </w:r>
    </w:p>
    <w:p>
      <w:pPr>
        <w:spacing w:line="360" w:lineRule="auto"/>
        <w:ind w:firstLine="420" w:firstLineChars="200"/>
        <w:rPr>
          <w:rFonts w:ascii="宋体" w:hAnsi="宋体" w:cs="Arial"/>
          <w:szCs w:val="21"/>
        </w:rPr>
      </w:pPr>
    </w:p>
    <w:p>
      <w:pPr>
        <w:spacing w:line="360" w:lineRule="auto"/>
        <w:rPr>
          <w:b/>
        </w:rPr>
      </w:pPr>
      <w:r>
        <w:rPr>
          <w:rFonts w:hint="eastAsia"/>
          <w:b/>
        </w:rPr>
        <w:t>四、《标准文本（</w:t>
      </w:r>
      <w:r>
        <w:rPr>
          <w:b/>
        </w:rPr>
        <w:t>2017</w:t>
      </w:r>
      <w:r>
        <w:rPr>
          <w:rFonts w:hint="eastAsia"/>
          <w:b/>
        </w:rPr>
        <w:t>版）》的结构体系及编制方法</w:t>
      </w:r>
    </w:p>
    <w:p>
      <w:pPr>
        <w:spacing w:line="360" w:lineRule="auto"/>
        <w:ind w:firstLine="420" w:firstLineChars="200"/>
        <w:rPr>
          <w:rFonts w:ascii="宋体" w:cs="Arial"/>
          <w:szCs w:val="21"/>
        </w:rPr>
      </w:pPr>
      <w:r>
        <w:rPr>
          <w:rFonts w:hint="eastAsia" w:ascii="宋体" w:hAnsi="宋体" w:cs="Arial"/>
          <w:szCs w:val="21"/>
        </w:rPr>
        <w:t>根据《标准文本（</w:t>
      </w:r>
      <w:r>
        <w:rPr>
          <w:rFonts w:ascii="宋体" w:hAnsi="宋体" w:cs="Arial"/>
          <w:szCs w:val="21"/>
        </w:rPr>
        <w:t>2017</w:t>
      </w:r>
      <w:r>
        <w:rPr>
          <w:rFonts w:hint="eastAsia" w:ascii="宋体" w:hAnsi="宋体" w:cs="Arial"/>
          <w:szCs w:val="21"/>
        </w:rPr>
        <w:t>版）》的优化编制目的和原则，《标准文本（</w:t>
      </w:r>
      <w:r>
        <w:rPr>
          <w:rFonts w:ascii="宋体" w:hAnsi="宋体" w:cs="Arial"/>
          <w:szCs w:val="21"/>
        </w:rPr>
        <w:t>2017</w:t>
      </w:r>
      <w:r>
        <w:rPr>
          <w:rFonts w:hint="eastAsia" w:ascii="宋体" w:hAnsi="宋体" w:cs="Arial"/>
          <w:szCs w:val="21"/>
        </w:rPr>
        <w:t>版）》保持采用由通用部分和专用部分构成的结构体系，并区分资格预审和资格后审两种版式，其评标办法均采用综合定量评估法。通用部分作为工具书与专用部分配套使用。</w:t>
      </w:r>
    </w:p>
    <w:p>
      <w:pPr>
        <w:spacing w:line="360" w:lineRule="auto"/>
        <w:ind w:firstLine="420" w:firstLineChars="200"/>
        <w:rPr>
          <w:rFonts w:ascii="宋体" w:cs="Arial"/>
          <w:szCs w:val="21"/>
        </w:rPr>
      </w:pPr>
      <w:r>
        <w:rPr>
          <w:rFonts w:hint="eastAsia" w:ascii="宋体" w:hAnsi="宋体" w:cs="Arial"/>
          <w:szCs w:val="21"/>
        </w:rPr>
        <w:t>通用部分是根据有关法律、法规、规章和规范性文件规定，以及招投标活动的需要，编制的通用于北京市房屋建筑和市政工程施工总承包招标的有关内容。通用部分编写采用固定式表述和指引式表述方法。固定式表述是针对招投标活动的法定程序、时限、共性及法律、法规强制性内容予以固定表述；指引式表述是针对拟招标项目的个案内容，在通用部分中予以指引。</w:t>
      </w:r>
    </w:p>
    <w:p>
      <w:pPr>
        <w:spacing w:line="360" w:lineRule="auto"/>
        <w:ind w:firstLine="420" w:firstLineChars="200"/>
        <w:rPr>
          <w:rFonts w:ascii="宋体" w:hAnsi="宋体" w:cs="Arial"/>
          <w:szCs w:val="21"/>
        </w:rPr>
      </w:pPr>
      <w:r>
        <w:rPr>
          <w:rFonts w:hint="eastAsia" w:ascii="宋体" w:hAnsi="宋体" w:cs="Arial"/>
          <w:szCs w:val="21"/>
        </w:rPr>
        <w:t>专用部分是根据通用部分的内容指引，在遵守有关法律、法规、规章和规范性文件规定的前提下，结合拟招标项目具体情况，编制的适用于拟招标项目施工招标的有关内容，主要针对拟招标项目的个案内容进行界定，是对通用部分的具体化或补充。专用部分编写采用选择、填空式的格式化表述方法，并且使第一章至第六章专用部分的标题与通用部分的标题相一致、条款号相对应。</w:t>
      </w:r>
    </w:p>
    <w:p>
      <w:pPr>
        <w:spacing w:line="360" w:lineRule="auto"/>
        <w:ind w:firstLine="420" w:firstLineChars="200"/>
        <w:rPr>
          <w:rFonts w:ascii="宋体" w:hAnsi="宋体" w:cs="Arial"/>
          <w:szCs w:val="21"/>
        </w:rPr>
      </w:pPr>
    </w:p>
    <w:p>
      <w:pPr>
        <w:spacing w:line="360" w:lineRule="auto"/>
        <w:rPr>
          <w:b/>
        </w:rPr>
      </w:pPr>
      <w:r>
        <w:rPr>
          <w:rFonts w:hint="eastAsia"/>
          <w:b/>
        </w:rPr>
        <w:t>五、《标准文本（</w:t>
      </w:r>
      <w:r>
        <w:rPr>
          <w:b/>
        </w:rPr>
        <w:t>2017</w:t>
      </w:r>
      <w:r>
        <w:rPr>
          <w:rFonts w:hint="eastAsia"/>
          <w:b/>
        </w:rPr>
        <w:t>版）》优化调整的主要内容</w:t>
      </w:r>
    </w:p>
    <w:p>
      <w:pPr>
        <w:spacing w:line="360" w:lineRule="auto"/>
        <w:ind w:firstLine="420" w:firstLineChars="200"/>
        <w:rPr>
          <w:rFonts w:ascii="宋体" w:cs="Arial"/>
          <w:szCs w:val="21"/>
        </w:rPr>
      </w:pPr>
      <w:bookmarkStart w:id="5" w:name="_Hlk114070219"/>
      <w:bookmarkStart w:id="6" w:name="_Hlk114643735"/>
      <w:r>
        <w:rPr>
          <w:rFonts w:ascii="宋体" w:cs="Arial"/>
          <w:szCs w:val="21"/>
        </w:rPr>
        <w:t>1.</w:t>
      </w:r>
      <w:r>
        <w:rPr>
          <w:rFonts w:hint="eastAsia" w:ascii="宋体" w:cs="Arial"/>
          <w:szCs w:val="21"/>
        </w:rPr>
        <w:t>增加招标人对施工安全风险企业是否采取惩戒及惩戒方式的内容，既加强了相关部门的监管，又给予了招标人自主权利。</w:t>
      </w:r>
    </w:p>
    <w:p>
      <w:pPr>
        <w:spacing w:line="360" w:lineRule="auto"/>
        <w:ind w:firstLine="420" w:firstLineChars="200"/>
        <w:rPr>
          <w:rFonts w:ascii="宋体" w:hAnsi="宋体"/>
        </w:rPr>
      </w:pPr>
      <w:r>
        <w:rPr>
          <w:rFonts w:ascii="宋体" w:cs="Arial"/>
          <w:szCs w:val="21"/>
        </w:rPr>
        <w:t>2.</w:t>
      </w:r>
      <w:r>
        <w:rPr>
          <w:rFonts w:hint="eastAsia" w:ascii="宋体" w:hAnsi="宋体" w:cs="Arial"/>
          <w:szCs w:val="21"/>
        </w:rPr>
        <w:t>进一步落实招标人主体责任，增加对应内容，如：</w:t>
      </w:r>
      <w:r>
        <w:rPr>
          <w:rFonts w:hint="eastAsia" w:ascii="宋体" w:cs="Arial"/>
          <w:szCs w:val="21"/>
        </w:rPr>
        <w:t>招标人可以</w:t>
      </w:r>
      <w:r>
        <w:rPr>
          <w:rFonts w:hint="eastAsia" w:ascii="宋体" w:hAnsi="宋体"/>
        </w:rPr>
        <w:t>采用评定分离的定标方式确定中标人；招标人可自主选择是否去掉招标人代表打分。</w:t>
      </w:r>
    </w:p>
    <w:p>
      <w:pPr>
        <w:spacing w:line="360" w:lineRule="auto"/>
        <w:ind w:firstLine="420" w:firstLineChars="200"/>
        <w:rPr>
          <w:rFonts w:ascii="宋体" w:hAnsi="宋体"/>
        </w:rPr>
      </w:pPr>
      <w:r>
        <w:rPr>
          <w:rFonts w:ascii="宋体" w:cs="Arial"/>
          <w:szCs w:val="21"/>
        </w:rPr>
        <w:t>3.</w:t>
      </w:r>
      <w:r>
        <w:rPr>
          <w:rFonts w:hint="eastAsia" w:ascii="宋体" w:hAnsi="宋体" w:cs="Arial"/>
          <w:szCs w:val="21"/>
        </w:rPr>
        <w:t>进一步加强招标投标服务监管，落实相关要求，如：</w:t>
      </w:r>
      <w:r>
        <w:rPr>
          <w:rFonts w:hint="eastAsia" w:ascii="宋体" w:hAnsi="宋体"/>
        </w:rPr>
        <w:t>在“中标候选人公示”中增加公示的内容，让招标投标的流程更加透明、公开。</w:t>
      </w:r>
    </w:p>
    <w:p>
      <w:pPr>
        <w:spacing w:line="360" w:lineRule="auto"/>
        <w:ind w:firstLine="420" w:firstLineChars="200"/>
        <w:rPr>
          <w:rFonts w:ascii="宋体" w:cs="Arial"/>
          <w:szCs w:val="21"/>
        </w:rPr>
      </w:pPr>
      <w:r>
        <w:rPr>
          <w:rFonts w:ascii="宋体" w:cs="Arial"/>
          <w:szCs w:val="21"/>
        </w:rPr>
        <w:t>4.</w:t>
      </w:r>
      <w:r>
        <w:rPr>
          <w:rFonts w:hint="eastAsia" w:ascii="宋体" w:cs="Arial"/>
          <w:szCs w:val="21"/>
        </w:rPr>
        <w:t>梳理电子化招标投标流程，增加远程在线开标，进一步提高交易效率，降低交易成本。</w:t>
      </w:r>
    </w:p>
    <w:bookmarkEnd w:id="5"/>
    <w:p>
      <w:pPr>
        <w:spacing w:line="360" w:lineRule="auto"/>
        <w:ind w:firstLine="420" w:firstLineChars="200"/>
        <w:rPr>
          <w:rFonts w:ascii="宋体" w:cs="Arial"/>
          <w:szCs w:val="21"/>
        </w:rPr>
      </w:pPr>
      <w:r>
        <w:rPr>
          <w:rFonts w:ascii="宋体" w:hAnsi="宋体"/>
        </w:rPr>
        <w:t>5</w:t>
      </w:r>
      <w:r>
        <w:rPr>
          <w:rFonts w:ascii="宋体" w:cs="Arial"/>
          <w:szCs w:val="21"/>
        </w:rPr>
        <w:t>.</w:t>
      </w:r>
      <w:r>
        <w:rPr>
          <w:rFonts w:hint="eastAsia" w:ascii="宋体" w:hAnsi="宋体" w:cs="Arial"/>
          <w:szCs w:val="21"/>
        </w:rPr>
        <w:t>依据</w:t>
      </w:r>
      <w:r>
        <w:rPr>
          <w:rFonts w:ascii="宋体" w:hAnsi="宋体" w:cs="Arial"/>
          <w:szCs w:val="21"/>
        </w:rPr>
        <w:t>2021年《北京市建设工程计价依据—预算消耗量标准》和《北京市房屋修缮工程计价依据——预算消耗量标准》的规定</w:t>
      </w:r>
      <w:r>
        <w:rPr>
          <w:rFonts w:hint="eastAsia" w:ascii="宋体" w:hAnsi="宋体" w:cs="Arial"/>
          <w:szCs w:val="21"/>
        </w:rPr>
        <w:t>对相关内容进行调整。</w:t>
      </w:r>
    </w:p>
    <w:p>
      <w:pPr>
        <w:spacing w:line="360" w:lineRule="auto"/>
        <w:ind w:firstLine="420" w:firstLineChars="200"/>
        <w:rPr>
          <w:rFonts w:ascii="宋体" w:hAnsi="宋体" w:cs="Arial"/>
          <w:szCs w:val="21"/>
        </w:rPr>
      </w:pPr>
      <w:r>
        <w:rPr>
          <w:rFonts w:ascii="宋体" w:cs="Arial"/>
          <w:szCs w:val="21"/>
        </w:rPr>
        <w:t>6.</w:t>
      </w:r>
      <w:r>
        <w:rPr>
          <w:rFonts w:hint="eastAsia" w:ascii="宋体" w:cs="Arial"/>
          <w:szCs w:val="21"/>
        </w:rPr>
        <w:t>进一步</w:t>
      </w:r>
      <w:r>
        <w:rPr>
          <w:rFonts w:ascii="宋体" w:hAnsi="宋体" w:cs="Arial"/>
          <w:szCs w:val="21"/>
        </w:rPr>
        <w:t>合理确定建设工程工期和规范工期管理</w:t>
      </w:r>
      <w:r>
        <w:rPr>
          <w:rFonts w:hint="eastAsia" w:ascii="宋体" w:hAnsi="宋体" w:cs="Arial"/>
          <w:szCs w:val="21"/>
        </w:rPr>
        <w:t>，加强对施工过程的监管。</w:t>
      </w:r>
    </w:p>
    <w:p>
      <w:pPr>
        <w:spacing w:line="360" w:lineRule="auto"/>
        <w:ind w:firstLine="420" w:firstLineChars="200"/>
        <w:rPr>
          <w:rFonts w:ascii="宋体" w:hAnsi="宋体"/>
        </w:rPr>
      </w:pPr>
      <w:r>
        <w:rPr>
          <w:rFonts w:ascii="宋体" w:hAnsi="宋体"/>
        </w:rPr>
        <w:t>7.</w:t>
      </w:r>
      <w:r>
        <w:rPr>
          <w:rFonts w:hint="eastAsia" w:ascii="宋体" w:cs="Arial"/>
          <w:szCs w:val="21"/>
        </w:rPr>
        <w:t>落实农民工工资支付的相关规定，保障农民工权益。</w:t>
      </w:r>
    </w:p>
    <w:p>
      <w:pPr>
        <w:spacing w:line="360" w:lineRule="auto"/>
        <w:ind w:firstLine="420" w:firstLineChars="200"/>
        <w:rPr>
          <w:rFonts w:ascii="宋体" w:hAnsi="宋体" w:cs="Arial"/>
          <w:szCs w:val="21"/>
        </w:rPr>
      </w:pPr>
      <w:bookmarkStart w:id="7" w:name="_Hlk114070269"/>
      <w:r>
        <w:rPr>
          <w:rFonts w:ascii="宋体" w:hAnsi="宋体" w:cs="Arial"/>
          <w:szCs w:val="21"/>
        </w:rPr>
        <w:t>8.对于使用市区政府性资金投资建设依法必须招标的房屋建筑与市政基础设施工程，落实国家与我市关于支持中小企业发展的相关政策。</w:t>
      </w:r>
    </w:p>
    <w:bookmarkEnd w:id="6"/>
    <w:p>
      <w:pPr>
        <w:spacing w:line="360" w:lineRule="auto"/>
        <w:ind w:firstLine="420" w:firstLineChars="200"/>
        <w:rPr>
          <w:rFonts w:ascii="宋体" w:cs="Arial"/>
          <w:szCs w:val="21"/>
        </w:rPr>
      </w:pPr>
    </w:p>
    <w:bookmarkEnd w:id="7"/>
    <w:p>
      <w:pPr>
        <w:spacing w:line="360" w:lineRule="auto"/>
        <w:rPr>
          <w:b/>
        </w:rPr>
      </w:pPr>
      <w:r>
        <w:rPr>
          <w:rFonts w:hint="eastAsia"/>
          <w:b/>
        </w:rPr>
        <w:t>六、《标准文本（</w:t>
      </w:r>
      <w:r>
        <w:rPr>
          <w:b/>
        </w:rPr>
        <w:t>2017</w:t>
      </w:r>
      <w:r>
        <w:rPr>
          <w:rFonts w:hint="eastAsia"/>
          <w:b/>
        </w:rPr>
        <w:t>版）》的适用</w:t>
      </w:r>
    </w:p>
    <w:p>
      <w:pPr>
        <w:wordWrap w:val="0"/>
        <w:spacing w:line="360" w:lineRule="auto"/>
        <w:ind w:firstLine="420" w:firstLineChars="200"/>
        <w:rPr>
          <w:rFonts w:ascii="宋体" w:cs="Arial"/>
          <w:szCs w:val="21"/>
        </w:rPr>
      </w:pPr>
      <w:r>
        <w:rPr>
          <w:rFonts w:hint="eastAsia" w:ascii="宋体" w:hAnsi="宋体" w:cs="Arial"/>
          <w:szCs w:val="21"/>
        </w:rPr>
        <w:t>《标准文本（</w:t>
      </w:r>
      <w:r>
        <w:rPr>
          <w:rFonts w:ascii="宋体" w:hAnsi="宋体" w:cs="Arial"/>
          <w:szCs w:val="21"/>
        </w:rPr>
        <w:t>2017</w:t>
      </w:r>
      <w:r>
        <w:rPr>
          <w:rFonts w:hint="eastAsia" w:ascii="宋体" w:hAnsi="宋体" w:cs="Arial"/>
          <w:szCs w:val="21"/>
        </w:rPr>
        <w:t>版）》适用于北京市范围内依法必须进行招标的，且设计和施工不是由同一承包人承担的房屋建筑和市政工程。</w:t>
      </w:r>
    </w:p>
    <w:p>
      <w:pPr>
        <w:wordWrap w:val="0"/>
        <w:spacing w:line="360" w:lineRule="auto"/>
        <w:ind w:firstLine="420" w:firstLineChars="200"/>
        <w:rPr>
          <w:rFonts w:ascii="宋体" w:hAnsi="宋体" w:cs="Arial"/>
          <w:szCs w:val="21"/>
        </w:rPr>
      </w:pPr>
      <w:r>
        <w:rPr>
          <w:rFonts w:hint="eastAsia" w:ascii="宋体" w:hAnsi="宋体" w:cs="Arial"/>
          <w:szCs w:val="21"/>
        </w:rPr>
        <w:t>本册适用于电子化招投标，且采用资格后审方式，并按照综合评估法确定中标人的施工总承包招标。</w:t>
      </w:r>
    </w:p>
    <w:p>
      <w:pPr>
        <w:spacing w:line="360" w:lineRule="auto"/>
        <w:ind w:firstLine="420" w:firstLineChars="200"/>
        <w:rPr>
          <w:rFonts w:ascii="宋体" w:hAnsi="宋体" w:cs="Arial"/>
          <w:szCs w:val="21"/>
        </w:rPr>
      </w:pPr>
    </w:p>
    <w:p>
      <w:pPr>
        <w:spacing w:line="360" w:lineRule="auto"/>
        <w:rPr>
          <w:b/>
        </w:rPr>
      </w:pPr>
      <w:r>
        <w:rPr>
          <w:rFonts w:hint="eastAsia"/>
          <w:b/>
        </w:rPr>
        <w:t>七、《标准文本（</w:t>
      </w:r>
      <w:r>
        <w:rPr>
          <w:b/>
        </w:rPr>
        <w:t>2017</w:t>
      </w:r>
      <w:r>
        <w:rPr>
          <w:rFonts w:hint="eastAsia"/>
          <w:b/>
        </w:rPr>
        <w:t>版）》修编人员</w:t>
      </w:r>
    </w:p>
    <w:p>
      <w:pPr>
        <w:spacing w:line="360" w:lineRule="auto"/>
        <w:ind w:firstLine="420" w:firstLineChars="200"/>
        <w:rPr>
          <w:rFonts w:ascii="宋体" w:cs="Arial"/>
          <w:szCs w:val="21"/>
        </w:rPr>
      </w:pPr>
      <w:r>
        <w:rPr>
          <w:rFonts w:hint="eastAsia" w:ascii="宋体" w:hAnsi="宋体" w:cs="Arial"/>
          <w:szCs w:val="21"/>
        </w:rPr>
        <w:t>主审：丁胜</w:t>
      </w:r>
    </w:p>
    <w:p>
      <w:pPr>
        <w:spacing w:line="360" w:lineRule="auto"/>
        <w:ind w:firstLine="420" w:firstLineChars="200"/>
        <w:rPr>
          <w:rFonts w:ascii="宋体" w:cs="Arial"/>
          <w:szCs w:val="21"/>
        </w:rPr>
      </w:pPr>
      <w:r>
        <w:rPr>
          <w:rFonts w:hint="eastAsia" w:ascii="宋体" w:hAnsi="宋体" w:cs="Arial"/>
          <w:szCs w:val="21"/>
        </w:rPr>
        <w:t>主编：赵勇</w:t>
      </w:r>
      <w:r>
        <w:rPr>
          <w:rFonts w:ascii="宋体" w:hAnsi="宋体" w:cs="Arial"/>
          <w:szCs w:val="21"/>
        </w:rPr>
        <w:t xml:space="preserve">     </w:t>
      </w:r>
      <w:r>
        <w:rPr>
          <w:rFonts w:hint="eastAsia" w:ascii="宋体" w:hAnsi="宋体" w:cs="Arial"/>
          <w:szCs w:val="21"/>
        </w:rPr>
        <w:t>副主编：</w:t>
      </w:r>
      <w:bookmarkStart w:id="8" w:name="_Hlk114646472"/>
      <w:r>
        <w:rPr>
          <w:rFonts w:hint="eastAsia" w:ascii="宋体" w:hAnsi="宋体" w:cs="Arial"/>
          <w:szCs w:val="21"/>
        </w:rPr>
        <w:t>杨丽娟</w:t>
      </w:r>
    </w:p>
    <w:p>
      <w:pPr>
        <w:spacing w:line="360" w:lineRule="auto"/>
        <w:ind w:firstLine="420" w:firstLineChars="200"/>
        <w:rPr>
          <w:rFonts w:ascii="宋体" w:hAnsi="宋体" w:cs="Arial"/>
          <w:szCs w:val="21"/>
        </w:rPr>
      </w:pPr>
      <w:r>
        <w:rPr>
          <w:rFonts w:hint="eastAsia" w:ascii="宋体" w:hAnsi="宋体" w:cs="Arial"/>
          <w:szCs w:val="21"/>
        </w:rPr>
        <w:t>编制人员：孙凯、孟庆铜、胡金民、谭冬梅、赵辉、唐晓红、白云、魏晋宁</w:t>
      </w:r>
      <w:bookmarkEnd w:id="8"/>
    </w:p>
    <w:p>
      <w:pPr>
        <w:spacing w:line="360" w:lineRule="auto"/>
        <w:ind w:firstLine="424" w:firstLineChars="202"/>
        <w:rPr>
          <w:rFonts w:ascii="宋体" w:hAnsi="宋体" w:cs="Arial"/>
          <w:szCs w:val="21"/>
        </w:rPr>
      </w:pPr>
    </w:p>
    <w:p>
      <w:pPr>
        <w:spacing w:line="360" w:lineRule="auto"/>
        <w:ind w:firstLine="424" w:firstLineChars="202"/>
        <w:rPr>
          <w:rFonts w:ascii="宋体" w:cs="Arial"/>
          <w:szCs w:val="21"/>
        </w:rPr>
      </w:pPr>
      <w:r>
        <w:rPr>
          <w:rFonts w:hint="eastAsia" w:ascii="宋体" w:hAnsi="宋体" w:cs="Arial"/>
          <w:szCs w:val="21"/>
        </w:rPr>
        <w:t>本次《标准文本（</w:t>
      </w:r>
      <w:r>
        <w:rPr>
          <w:rFonts w:ascii="宋体" w:hAnsi="宋体" w:cs="Arial"/>
          <w:szCs w:val="21"/>
        </w:rPr>
        <w:t>2017</w:t>
      </w:r>
      <w:r>
        <w:rPr>
          <w:rFonts w:hint="eastAsia" w:ascii="宋体" w:hAnsi="宋体" w:cs="Arial"/>
          <w:szCs w:val="21"/>
        </w:rPr>
        <w:t>版）》的优化编制工作，得到了社会各相关单位及同仁的大力支持，并提出了许多宝贵意见！在此，谨向所有为《标准文本（</w:t>
      </w:r>
      <w:r>
        <w:rPr>
          <w:rFonts w:ascii="宋体" w:hAnsi="宋体" w:cs="Arial"/>
          <w:szCs w:val="21"/>
        </w:rPr>
        <w:t>2017</w:t>
      </w:r>
      <w:r>
        <w:rPr>
          <w:rFonts w:hint="eastAsia" w:ascii="宋体" w:hAnsi="宋体" w:cs="Arial"/>
          <w:szCs w:val="21"/>
        </w:rPr>
        <w:t>版）》编制工作付出辛勤劳动的单位和个人表示谢意！</w:t>
      </w:r>
    </w:p>
    <w:p>
      <w:pPr>
        <w:spacing w:line="360" w:lineRule="auto"/>
        <w:ind w:firstLine="424" w:firstLineChars="202"/>
        <w:rPr>
          <w:rFonts w:ascii="宋体" w:cs="Arial"/>
          <w:szCs w:val="21"/>
        </w:rPr>
      </w:pPr>
      <w:r>
        <w:rPr>
          <w:rFonts w:hint="eastAsia" w:ascii="宋体" w:hAnsi="宋体" w:cs="Arial"/>
          <w:szCs w:val="21"/>
        </w:rPr>
        <w:t>因时间仓促，以及参编人员的经验与水平所限，错误与不足在所难免，恳请相关单位及专业人士予以批评指正，并将意见和建议及时反馈给编者，以使《标准文本（</w:t>
      </w:r>
      <w:r>
        <w:rPr>
          <w:rFonts w:ascii="宋体" w:hAnsi="宋体" w:cs="Arial"/>
          <w:szCs w:val="21"/>
        </w:rPr>
        <w:t>2017</w:t>
      </w:r>
      <w:r>
        <w:rPr>
          <w:rFonts w:hint="eastAsia" w:ascii="宋体" w:hAnsi="宋体" w:cs="Arial"/>
          <w:szCs w:val="21"/>
        </w:rPr>
        <w:t>版）》在使用中得以完善。</w:t>
      </w:r>
    </w:p>
    <w:p>
      <w:pPr>
        <w:spacing w:line="360" w:lineRule="auto"/>
        <w:ind w:firstLine="420" w:firstLineChars="200"/>
        <w:rPr>
          <w:rFonts w:ascii="宋体" w:cs="Arial"/>
          <w:szCs w:val="21"/>
        </w:rPr>
      </w:pPr>
      <w:r>
        <w:rPr>
          <w:rFonts w:hint="eastAsia" w:ascii="宋体" w:hAnsi="宋体" w:cs="Arial"/>
          <w:szCs w:val="21"/>
        </w:rPr>
        <w:t>意见和建议可向修编小组反映。</w:t>
      </w:r>
    </w:p>
    <w:p>
      <w:pPr>
        <w:spacing w:line="360" w:lineRule="auto"/>
        <w:ind w:firstLine="420" w:firstLineChars="200"/>
        <w:rPr>
          <w:rFonts w:ascii="宋体" w:cs="Arial"/>
          <w:szCs w:val="21"/>
        </w:rPr>
      </w:pPr>
      <w:r>
        <w:rPr>
          <w:rFonts w:hint="eastAsia" w:ascii="宋体" w:hAnsi="宋体" w:cs="Arial"/>
          <w:szCs w:val="21"/>
        </w:rPr>
        <w:t>联系电话：</w:t>
      </w:r>
      <w:r>
        <w:rPr>
          <w:rFonts w:ascii="宋体" w:hAnsi="宋体" w:cs="Arial"/>
          <w:szCs w:val="21"/>
        </w:rPr>
        <w:t>010-55597782</w:t>
      </w:r>
    </w:p>
    <w:p>
      <w:pPr>
        <w:spacing w:line="360" w:lineRule="auto"/>
        <w:ind w:firstLine="570"/>
        <w:rPr>
          <w:rFonts w:ascii="宋体"/>
          <w:szCs w:val="21"/>
        </w:rPr>
      </w:pPr>
      <w:r>
        <w:rPr>
          <w:rFonts w:ascii="宋体" w:hAnsi="宋体"/>
          <w:szCs w:val="21"/>
        </w:rPr>
        <w:t xml:space="preserve">                                     </w:t>
      </w:r>
    </w:p>
    <w:p>
      <w:pPr>
        <w:spacing w:line="360" w:lineRule="auto"/>
        <w:ind w:firstLine="570"/>
        <w:rPr>
          <w:rFonts w:ascii="宋体"/>
          <w:szCs w:val="21"/>
        </w:rPr>
      </w:pPr>
    </w:p>
    <w:p>
      <w:pPr>
        <w:spacing w:line="360" w:lineRule="auto"/>
        <w:rPr>
          <w:rFonts w:ascii="宋体"/>
          <w:szCs w:val="21"/>
        </w:rPr>
      </w:pPr>
      <w:r>
        <w:rPr>
          <w:rFonts w:ascii="宋体" w:hAnsi="宋体"/>
          <w:szCs w:val="21"/>
        </w:rPr>
        <w:t xml:space="preserve">                                       </w:t>
      </w:r>
      <w:r>
        <w:rPr>
          <w:rFonts w:hint="eastAsia" w:ascii="宋体" w:hAnsi="宋体"/>
          <w:szCs w:val="21"/>
        </w:rPr>
        <w:t>北京市建设工程招标投标管理事务中心</w:t>
      </w:r>
    </w:p>
    <w:p>
      <w:pPr>
        <w:spacing w:line="480" w:lineRule="exact"/>
        <w:ind w:right="420" w:firstLine="420" w:firstLineChars="200"/>
        <w:jc w:val="center"/>
        <w:rPr>
          <w:rFonts w:ascii="宋体" w:hAnsi="宋体"/>
          <w:szCs w:val="21"/>
        </w:rPr>
      </w:pPr>
      <w:r>
        <w:rPr>
          <w:rFonts w:ascii="宋体" w:hAnsi="宋体"/>
          <w:szCs w:val="21"/>
        </w:rPr>
        <w:t xml:space="preserve">                               2022</w:t>
      </w:r>
      <w:r>
        <w:rPr>
          <w:rFonts w:hint="eastAsia" w:ascii="宋体" w:hAnsi="宋体"/>
          <w:szCs w:val="21"/>
        </w:rPr>
        <w:t>年</w:t>
      </w:r>
      <w:r>
        <w:rPr>
          <w:rFonts w:ascii="宋体" w:hAnsi="宋体"/>
          <w:szCs w:val="21"/>
        </w:rPr>
        <w:t>10</w:t>
      </w:r>
      <w:r>
        <w:rPr>
          <w:rFonts w:hint="eastAsia" w:ascii="宋体" w:hAnsi="宋体"/>
          <w:szCs w:val="21"/>
        </w:rPr>
        <w:t xml:space="preserve">月       </w:t>
      </w:r>
    </w:p>
    <w:p>
      <w:pPr>
        <w:spacing w:line="360" w:lineRule="auto"/>
        <w:rPr>
          <w:rFonts w:ascii="宋体"/>
          <w:szCs w:val="21"/>
        </w:rPr>
      </w:pPr>
    </w:p>
    <w:p>
      <w:pPr>
        <w:widowControl/>
        <w:jc w:val="left"/>
      </w:pPr>
    </w:p>
    <w:p>
      <w:pPr>
        <w:widowControl/>
        <w:jc w:val="left"/>
      </w:pPr>
    </w:p>
    <w:p>
      <w:pPr>
        <w:widowControl/>
        <w:jc w:val="left"/>
      </w:pPr>
    </w:p>
    <w:p>
      <w:pPr>
        <w:widowControl/>
        <w:jc w:val="left"/>
        <w:rPr>
          <w:b/>
          <w:sz w:val="36"/>
          <w:szCs w:val="36"/>
        </w:rPr>
        <w:sectPr>
          <w:headerReference r:id="rId6" w:type="default"/>
          <w:footerReference r:id="rId8" w:type="default"/>
          <w:headerReference r:id="rId7" w:type="even"/>
          <w:footerReference r:id="rId9" w:type="even"/>
          <w:pgSz w:w="11906" w:h="16838"/>
          <w:pgMar w:top="1440" w:right="1797" w:bottom="1440" w:left="1797" w:header="851" w:footer="992" w:gutter="0"/>
          <w:pgNumType w:start="1"/>
          <w:cols w:space="720" w:num="1"/>
          <w:docGrid w:linePitch="286" w:charSpace="0"/>
        </w:sectPr>
      </w:pPr>
    </w:p>
    <w:p>
      <w:pPr>
        <w:jc w:val="center"/>
        <w:rPr>
          <w:b/>
          <w:sz w:val="36"/>
          <w:szCs w:val="36"/>
        </w:rPr>
      </w:pPr>
    </w:p>
    <w:p>
      <w:pPr>
        <w:jc w:val="center"/>
        <w:rPr>
          <w:b/>
          <w:sz w:val="36"/>
          <w:szCs w:val="36"/>
        </w:rPr>
      </w:pPr>
      <w:r>
        <w:rPr>
          <w:rFonts w:hint="eastAsia"/>
          <w:b/>
          <w:sz w:val="36"/>
          <w:szCs w:val="36"/>
        </w:rPr>
        <w:t>目</w:t>
      </w:r>
      <w:r>
        <w:rPr>
          <w:b/>
          <w:sz w:val="36"/>
          <w:szCs w:val="36"/>
        </w:rPr>
        <w:t xml:space="preserve">  </w:t>
      </w:r>
      <w:r>
        <w:rPr>
          <w:rFonts w:hint="eastAsia"/>
          <w:b/>
          <w:sz w:val="36"/>
          <w:szCs w:val="36"/>
        </w:rPr>
        <w:t>录</w:t>
      </w:r>
    </w:p>
    <w:p>
      <w:pPr>
        <w:rPr>
          <w:rFonts w:ascii="宋体"/>
          <w:szCs w:val="21"/>
        </w:rPr>
      </w:pPr>
      <w:r>
        <w:rPr>
          <w:rFonts w:hint="eastAsia"/>
          <w:b/>
          <w:sz w:val="28"/>
          <w:szCs w:val="28"/>
        </w:rPr>
        <w:t>通用部分</w:t>
      </w:r>
    </w:p>
    <w:p>
      <w:pPr>
        <w:pStyle w:val="29"/>
        <w:rPr>
          <w:rFonts w:asciiTheme="minorHAnsi" w:hAnsiTheme="minorHAnsi" w:eastAsiaTheme="minorEastAsia" w:cstheme="minorBidi"/>
          <w:caps w:val="0"/>
          <w:szCs w:val="22"/>
        </w:rPr>
      </w:pPr>
      <w:bookmarkStart w:id="9" w:name="_Toc179632527"/>
      <w:r>
        <w:rPr>
          <w:szCs w:val="21"/>
        </w:rPr>
        <w:fldChar w:fldCharType="begin"/>
      </w:r>
      <w:r>
        <w:rPr>
          <w:szCs w:val="21"/>
        </w:rPr>
        <w:instrText xml:space="preserve"> TOC \o "1-3" \h \z \u </w:instrText>
      </w:r>
      <w:r>
        <w:rPr>
          <w:szCs w:val="21"/>
        </w:rPr>
        <w:fldChar w:fldCharType="separate"/>
      </w:r>
      <w:r>
        <w:fldChar w:fldCharType="begin"/>
      </w:r>
      <w:r>
        <w:instrText xml:space="preserve"> HYPERLINK \l "_Toc117350317" </w:instrText>
      </w:r>
      <w:r>
        <w:fldChar w:fldCharType="separate"/>
      </w:r>
      <w:r>
        <w:rPr>
          <w:rStyle w:val="47"/>
        </w:rPr>
        <w:t>第一章  招标公告通用部分</w:t>
      </w:r>
      <w:r>
        <w:tab/>
      </w:r>
      <w:r>
        <w:fldChar w:fldCharType="begin"/>
      </w:r>
      <w:r>
        <w:instrText xml:space="preserve"> PAGEREF _Toc117350317 \h </w:instrText>
      </w:r>
      <w:r>
        <w:fldChar w:fldCharType="separate"/>
      </w:r>
      <w:r>
        <w:t>1</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"_Toc117350318" </w:instrText>
      </w:r>
      <w:r>
        <w:fldChar w:fldCharType="separate"/>
      </w:r>
      <w:r>
        <w:rPr>
          <w:rStyle w:val="47"/>
          <w:b w:val="0"/>
        </w:rPr>
        <w:t>1.招标条件</w:t>
      </w:r>
      <w:r>
        <w:rPr>
          <w:b w:val="0"/>
        </w:rPr>
        <w:tab/>
      </w:r>
      <w:r>
        <w:rPr>
          <w:b w:val="0"/>
        </w:rPr>
        <w:fldChar w:fldCharType="begin"/>
      </w:r>
      <w:r>
        <w:rPr>
          <w:b w:val="0"/>
        </w:rPr>
        <w:instrText xml:space="preserve"> PAGEREF _Toc117350318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"_Toc117350319" </w:instrText>
      </w:r>
      <w:r>
        <w:fldChar w:fldCharType="separate"/>
      </w:r>
      <w:r>
        <w:rPr>
          <w:rStyle w:val="47"/>
          <w:b w:val="0"/>
        </w:rPr>
        <w:t>2.工程概况与招标范围</w:t>
      </w:r>
      <w:r>
        <w:rPr>
          <w:b w:val="0"/>
        </w:rPr>
        <w:tab/>
      </w:r>
      <w:r>
        <w:rPr>
          <w:b w:val="0"/>
        </w:rPr>
        <w:fldChar w:fldCharType="begin"/>
      </w:r>
      <w:r>
        <w:rPr>
          <w:b w:val="0"/>
        </w:rPr>
        <w:instrText xml:space="preserve"> PAGEREF _Toc117350319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"_Toc117350320" </w:instrText>
      </w:r>
      <w:r>
        <w:fldChar w:fldCharType="separate"/>
      </w:r>
      <w:r>
        <w:rPr>
          <w:rStyle w:val="47"/>
          <w:b w:val="0"/>
        </w:rPr>
        <w:t>3.投标人资格要求</w:t>
      </w:r>
      <w:r>
        <w:rPr>
          <w:b w:val="0"/>
        </w:rPr>
        <w:tab/>
      </w:r>
      <w:r>
        <w:rPr>
          <w:b w:val="0"/>
        </w:rPr>
        <w:fldChar w:fldCharType="begin"/>
      </w:r>
      <w:r>
        <w:rPr>
          <w:b w:val="0"/>
        </w:rPr>
        <w:instrText xml:space="preserve"> PAGEREF _Toc117350320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"_Toc117350321" </w:instrText>
      </w:r>
      <w:r>
        <w:fldChar w:fldCharType="separate"/>
      </w:r>
      <w:r>
        <w:rPr>
          <w:rStyle w:val="47"/>
          <w:b w:val="0"/>
        </w:rPr>
        <w:t>4.信誉要求</w:t>
      </w:r>
      <w:r>
        <w:rPr>
          <w:b w:val="0"/>
        </w:rPr>
        <w:tab/>
      </w:r>
      <w:r>
        <w:rPr>
          <w:b w:val="0"/>
        </w:rPr>
        <w:fldChar w:fldCharType="begin"/>
      </w:r>
      <w:r>
        <w:rPr>
          <w:b w:val="0"/>
        </w:rPr>
        <w:instrText xml:space="preserve"> PAGEREF _Toc117350321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"_Toc117350322" </w:instrText>
      </w:r>
      <w:r>
        <w:fldChar w:fldCharType="separate"/>
      </w:r>
      <w:r>
        <w:rPr>
          <w:rStyle w:val="47"/>
          <w:b w:val="0"/>
        </w:rPr>
        <w:t>5.招标文件的获取</w:t>
      </w:r>
      <w:r>
        <w:rPr>
          <w:b w:val="0"/>
        </w:rPr>
        <w:tab/>
      </w:r>
      <w:r>
        <w:rPr>
          <w:b w:val="0"/>
        </w:rPr>
        <w:fldChar w:fldCharType="begin"/>
      </w:r>
      <w:r>
        <w:rPr>
          <w:b w:val="0"/>
        </w:rPr>
        <w:instrText xml:space="preserve"> PAGEREF _Toc117350322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"_Toc117350323" </w:instrText>
      </w:r>
      <w:r>
        <w:fldChar w:fldCharType="separate"/>
      </w:r>
      <w:r>
        <w:rPr>
          <w:rStyle w:val="47"/>
          <w:b w:val="0"/>
        </w:rPr>
        <w:t>6.投标文件的递交</w:t>
      </w:r>
      <w:r>
        <w:rPr>
          <w:b w:val="0"/>
        </w:rPr>
        <w:tab/>
      </w:r>
      <w:r>
        <w:rPr>
          <w:b w:val="0"/>
        </w:rPr>
        <w:fldChar w:fldCharType="begin"/>
      </w:r>
      <w:r>
        <w:rPr>
          <w:b w:val="0"/>
        </w:rPr>
        <w:instrText xml:space="preserve"> PAGEREF _Toc117350323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"_Toc117350324" </w:instrText>
      </w:r>
      <w:r>
        <w:fldChar w:fldCharType="separate"/>
      </w:r>
      <w:r>
        <w:rPr>
          <w:rStyle w:val="47"/>
          <w:b w:val="0"/>
        </w:rPr>
        <w:t>7.发布公告的媒介</w:t>
      </w:r>
      <w:r>
        <w:rPr>
          <w:b w:val="0"/>
        </w:rPr>
        <w:tab/>
      </w:r>
      <w:r>
        <w:rPr>
          <w:b w:val="0"/>
        </w:rPr>
        <w:fldChar w:fldCharType="begin"/>
      </w:r>
      <w:r>
        <w:rPr>
          <w:b w:val="0"/>
        </w:rPr>
        <w:instrText xml:space="preserve"> PAGEREF _Toc117350324 \h </w:instrText>
      </w:r>
      <w:r>
        <w:rPr>
          <w:b w:val="0"/>
        </w:rPr>
        <w:fldChar w:fldCharType="separate"/>
      </w:r>
      <w:r>
        <w:rPr>
          <w:b w:val="0"/>
        </w:rPr>
        <w:t>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"_Toc117350325" </w:instrText>
      </w:r>
      <w:r>
        <w:fldChar w:fldCharType="separate"/>
      </w:r>
      <w:r>
        <w:rPr>
          <w:rStyle w:val="47"/>
          <w:b w:val="0"/>
        </w:rPr>
        <w:t>8.联系方式</w:t>
      </w:r>
      <w:r>
        <w:rPr>
          <w:b w:val="0"/>
        </w:rPr>
        <w:tab/>
      </w:r>
      <w:r>
        <w:rPr>
          <w:b w:val="0"/>
        </w:rPr>
        <w:fldChar w:fldCharType="begin"/>
      </w:r>
      <w:r>
        <w:rPr>
          <w:b w:val="0"/>
        </w:rPr>
        <w:instrText xml:space="preserve"> PAGEREF _Toc117350325 \h </w:instrText>
      </w:r>
      <w:r>
        <w:rPr>
          <w:b w:val="0"/>
        </w:rPr>
        <w:fldChar w:fldCharType="separate"/>
      </w:r>
      <w:r>
        <w:rPr>
          <w:b w:val="0"/>
        </w:rPr>
        <w:t>4</w:t>
      </w:r>
      <w:r>
        <w:rPr>
          <w:b w:val="0"/>
        </w:rPr>
        <w:fldChar w:fldCharType="end"/>
      </w:r>
      <w:r>
        <w:rPr>
          <w:b w:val="0"/>
        </w:rPr>
        <w:fldChar w:fldCharType="end"/>
      </w:r>
    </w:p>
    <w:p>
      <w:pPr>
        <w:pStyle w:val="29"/>
        <w:rPr>
          <w:rFonts w:asciiTheme="minorHAnsi" w:hAnsiTheme="minorHAnsi" w:eastAsiaTheme="minorEastAsia" w:cstheme="minorBidi"/>
          <w:caps w:val="0"/>
          <w:szCs w:val="22"/>
        </w:rPr>
      </w:pPr>
      <w:r>
        <w:fldChar w:fldCharType="begin"/>
      </w:r>
      <w:r>
        <w:instrText xml:space="preserve"> HYPERLINK \l "_Toc117350326" </w:instrText>
      </w:r>
      <w:r>
        <w:fldChar w:fldCharType="separate"/>
      </w:r>
      <w:r>
        <w:rPr>
          <w:rStyle w:val="47"/>
        </w:rPr>
        <w:t>第二章  投标人须知通用部分</w:t>
      </w:r>
      <w:r>
        <w:tab/>
      </w:r>
      <w:r>
        <w:fldChar w:fldCharType="begin"/>
      </w:r>
      <w:r>
        <w:instrText xml:space="preserve"> PAGEREF _Toc117350326 \h </w:instrText>
      </w:r>
      <w:r>
        <w:fldChar w:fldCharType="separate"/>
      </w:r>
      <w:r>
        <w:t>5</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"_Toc117350327" </w:instrText>
      </w:r>
      <w:r>
        <w:fldChar w:fldCharType="separate"/>
      </w:r>
      <w:r>
        <w:rPr>
          <w:rStyle w:val="47"/>
          <w:b w:val="0"/>
        </w:rPr>
        <w:t>1.总则</w:t>
      </w:r>
      <w:r>
        <w:rPr>
          <w:b w:val="0"/>
        </w:rPr>
        <w:tab/>
      </w:r>
      <w:r>
        <w:rPr>
          <w:b w:val="0"/>
        </w:rPr>
        <w:fldChar w:fldCharType="begin"/>
      </w:r>
      <w:r>
        <w:rPr>
          <w:b w:val="0"/>
        </w:rPr>
        <w:instrText xml:space="preserve"> PAGEREF _Toc117350327 \h </w:instrText>
      </w:r>
      <w:r>
        <w:rPr>
          <w:b w:val="0"/>
        </w:rPr>
        <w:fldChar w:fldCharType="separate"/>
      </w:r>
      <w:r>
        <w:rPr>
          <w:b w:val="0"/>
        </w:rPr>
        <w:t>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"_Toc117350328" </w:instrText>
      </w:r>
      <w:r>
        <w:fldChar w:fldCharType="separate"/>
      </w:r>
      <w:r>
        <w:rPr>
          <w:rStyle w:val="47"/>
          <w:bCs/>
        </w:rPr>
        <w:t>1.1  工程概况</w:t>
      </w:r>
      <w:r>
        <w:rPr>
          <w:bCs/>
        </w:rPr>
        <w:tab/>
      </w:r>
      <w:r>
        <w:rPr>
          <w:bCs/>
        </w:rPr>
        <w:fldChar w:fldCharType="begin"/>
      </w:r>
      <w:r>
        <w:rPr>
          <w:bCs/>
        </w:rPr>
        <w:instrText xml:space="preserve"> PAGEREF _Toc117350328 \h </w:instrText>
      </w:r>
      <w:r>
        <w:rPr>
          <w:bCs/>
        </w:rPr>
        <w:fldChar w:fldCharType="separate"/>
      </w:r>
      <w:r>
        <w:rPr>
          <w:bCs/>
        </w:rPr>
        <w:t>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"_Toc117350329" </w:instrText>
      </w:r>
      <w:r>
        <w:fldChar w:fldCharType="separate"/>
      </w:r>
      <w:r>
        <w:rPr>
          <w:rStyle w:val="47"/>
          <w:bCs/>
        </w:rPr>
        <w:t>1.2  资金来源和落实情况</w:t>
      </w:r>
      <w:r>
        <w:rPr>
          <w:bCs/>
        </w:rPr>
        <w:tab/>
      </w:r>
      <w:r>
        <w:rPr>
          <w:bCs/>
        </w:rPr>
        <w:fldChar w:fldCharType="begin"/>
      </w:r>
      <w:r>
        <w:rPr>
          <w:bCs/>
        </w:rPr>
        <w:instrText xml:space="preserve"> PAGEREF _Toc117350329 \h </w:instrText>
      </w:r>
      <w:r>
        <w:rPr>
          <w:bCs/>
        </w:rPr>
        <w:fldChar w:fldCharType="separate"/>
      </w:r>
      <w:r>
        <w:rPr>
          <w:bCs/>
        </w:rPr>
        <w:t>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"_Toc117350330" </w:instrText>
      </w:r>
      <w:r>
        <w:fldChar w:fldCharType="separate"/>
      </w:r>
      <w:r>
        <w:rPr>
          <w:rStyle w:val="47"/>
          <w:bCs/>
        </w:rPr>
        <w:t>1.3  招标范围、计划工期、质量和其他要求</w:t>
      </w:r>
      <w:r>
        <w:rPr>
          <w:bCs/>
        </w:rPr>
        <w:tab/>
      </w:r>
      <w:r>
        <w:rPr>
          <w:bCs/>
        </w:rPr>
        <w:fldChar w:fldCharType="begin"/>
      </w:r>
      <w:r>
        <w:rPr>
          <w:bCs/>
        </w:rPr>
        <w:instrText xml:space="preserve"> PAGEREF _Toc117350330 \h </w:instrText>
      </w:r>
      <w:r>
        <w:rPr>
          <w:bCs/>
        </w:rPr>
        <w:fldChar w:fldCharType="separate"/>
      </w:r>
      <w:r>
        <w:rPr>
          <w:bCs/>
        </w:rPr>
        <w:t>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"_Toc117350331" </w:instrText>
      </w:r>
      <w:r>
        <w:fldChar w:fldCharType="separate"/>
      </w:r>
      <w:r>
        <w:rPr>
          <w:rStyle w:val="47"/>
          <w:bCs/>
        </w:rPr>
        <w:t>1.4  投标人资格要求</w:t>
      </w:r>
      <w:r>
        <w:rPr>
          <w:bCs/>
        </w:rPr>
        <w:tab/>
      </w:r>
      <w:r>
        <w:rPr>
          <w:bCs/>
        </w:rPr>
        <w:fldChar w:fldCharType="begin"/>
      </w:r>
      <w:r>
        <w:rPr>
          <w:bCs/>
        </w:rPr>
        <w:instrText xml:space="preserve"> PAGEREF _Toc117350331 \h </w:instrText>
      </w:r>
      <w:r>
        <w:rPr>
          <w:bCs/>
        </w:rPr>
        <w:fldChar w:fldCharType="separate"/>
      </w:r>
      <w:r>
        <w:rPr>
          <w:bCs/>
        </w:rPr>
        <w:t>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"_Toc117350332" </w:instrText>
      </w:r>
      <w:r>
        <w:fldChar w:fldCharType="separate"/>
      </w:r>
      <w:r>
        <w:rPr>
          <w:rStyle w:val="47"/>
          <w:bCs/>
        </w:rPr>
        <w:t>1.5  信誉要求</w:t>
      </w:r>
      <w:r>
        <w:rPr>
          <w:bCs/>
        </w:rPr>
        <w:tab/>
      </w:r>
      <w:r>
        <w:rPr>
          <w:bCs/>
        </w:rPr>
        <w:fldChar w:fldCharType="begin"/>
      </w:r>
      <w:r>
        <w:rPr>
          <w:bCs/>
        </w:rPr>
        <w:instrText xml:space="preserve"> PAGEREF _Toc117350332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"_Toc117350333" </w:instrText>
      </w:r>
      <w:r>
        <w:fldChar w:fldCharType="separate"/>
      </w:r>
      <w:r>
        <w:rPr>
          <w:rStyle w:val="47"/>
          <w:bCs/>
        </w:rPr>
        <w:t>1.6  费用承担</w:t>
      </w:r>
      <w:r>
        <w:rPr>
          <w:bCs/>
        </w:rPr>
        <w:tab/>
      </w:r>
      <w:r>
        <w:rPr>
          <w:bCs/>
        </w:rPr>
        <w:fldChar w:fldCharType="begin"/>
      </w:r>
      <w:r>
        <w:rPr>
          <w:bCs/>
        </w:rPr>
        <w:instrText xml:space="preserve"> PAGEREF _Toc117350333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"_Toc117350334" </w:instrText>
      </w:r>
      <w:r>
        <w:fldChar w:fldCharType="separate"/>
      </w:r>
      <w:r>
        <w:rPr>
          <w:rStyle w:val="47"/>
          <w:bCs/>
        </w:rPr>
        <w:t>1.7  保密</w:t>
      </w:r>
      <w:r>
        <w:rPr>
          <w:bCs/>
        </w:rPr>
        <w:tab/>
      </w:r>
      <w:r>
        <w:rPr>
          <w:bCs/>
        </w:rPr>
        <w:fldChar w:fldCharType="begin"/>
      </w:r>
      <w:r>
        <w:rPr>
          <w:bCs/>
        </w:rPr>
        <w:instrText xml:space="preserve"> PAGEREF _Toc117350334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"_Toc117350335" </w:instrText>
      </w:r>
      <w:r>
        <w:fldChar w:fldCharType="separate"/>
      </w:r>
      <w:r>
        <w:rPr>
          <w:rStyle w:val="47"/>
          <w:bCs/>
        </w:rPr>
        <w:t>1.8  语言文字</w:t>
      </w:r>
      <w:r>
        <w:rPr>
          <w:bCs/>
        </w:rPr>
        <w:tab/>
      </w:r>
      <w:r>
        <w:rPr>
          <w:bCs/>
        </w:rPr>
        <w:fldChar w:fldCharType="begin"/>
      </w:r>
      <w:r>
        <w:rPr>
          <w:bCs/>
        </w:rPr>
        <w:instrText xml:space="preserve"> PAGEREF _Toc117350335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"_Toc117350336" </w:instrText>
      </w:r>
      <w:r>
        <w:fldChar w:fldCharType="separate"/>
      </w:r>
      <w:r>
        <w:rPr>
          <w:rStyle w:val="47"/>
          <w:bCs/>
        </w:rPr>
        <w:t>1.9  计量单位</w:t>
      </w:r>
      <w:r>
        <w:rPr>
          <w:bCs/>
        </w:rPr>
        <w:tab/>
      </w:r>
      <w:r>
        <w:rPr>
          <w:bCs/>
        </w:rPr>
        <w:fldChar w:fldCharType="begin"/>
      </w:r>
      <w:r>
        <w:rPr>
          <w:bCs/>
        </w:rPr>
        <w:instrText xml:space="preserve"> PAGEREF _Toc117350336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"_Toc117350337" </w:instrText>
      </w:r>
      <w:r>
        <w:fldChar w:fldCharType="separate"/>
      </w:r>
      <w:r>
        <w:rPr>
          <w:rStyle w:val="47"/>
          <w:bCs/>
        </w:rPr>
        <w:t>1.10  踏勘现场</w:t>
      </w:r>
      <w:r>
        <w:rPr>
          <w:bCs/>
        </w:rPr>
        <w:tab/>
      </w:r>
      <w:r>
        <w:rPr>
          <w:bCs/>
        </w:rPr>
        <w:fldChar w:fldCharType="begin"/>
      </w:r>
      <w:r>
        <w:rPr>
          <w:bCs/>
        </w:rPr>
        <w:instrText xml:space="preserve"> PAGEREF _Toc117350337 \h </w:instrText>
      </w:r>
      <w:r>
        <w:rPr>
          <w:bCs/>
        </w:rPr>
        <w:fldChar w:fldCharType="separate"/>
      </w:r>
      <w:r>
        <w:rPr>
          <w:bCs/>
        </w:rPr>
        <w:t>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"_Toc117350338" </w:instrText>
      </w:r>
      <w:r>
        <w:fldChar w:fldCharType="separate"/>
      </w:r>
      <w:r>
        <w:rPr>
          <w:rStyle w:val="47"/>
          <w:bCs/>
        </w:rPr>
        <w:t>1.11  投标预备会</w:t>
      </w:r>
      <w:r>
        <w:rPr>
          <w:bCs/>
        </w:rPr>
        <w:tab/>
      </w:r>
      <w:r>
        <w:rPr>
          <w:bCs/>
        </w:rPr>
        <w:fldChar w:fldCharType="begin"/>
      </w:r>
      <w:r>
        <w:rPr>
          <w:bCs/>
        </w:rPr>
        <w:instrText xml:space="preserve"> PAGEREF _Toc117350338 \h </w:instrText>
      </w:r>
      <w:r>
        <w:rPr>
          <w:bCs/>
        </w:rPr>
        <w:fldChar w:fldCharType="separate"/>
      </w:r>
      <w:r>
        <w:rPr>
          <w:bCs/>
        </w:rPr>
        <w:t>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"_Toc117350339" </w:instrText>
      </w:r>
      <w:r>
        <w:fldChar w:fldCharType="separate"/>
      </w:r>
      <w:r>
        <w:rPr>
          <w:rStyle w:val="47"/>
          <w:bCs/>
        </w:rPr>
        <w:t>1.12  分包</w:t>
      </w:r>
      <w:r>
        <w:rPr>
          <w:bCs/>
        </w:rPr>
        <w:tab/>
      </w:r>
      <w:r>
        <w:rPr>
          <w:bCs/>
        </w:rPr>
        <w:fldChar w:fldCharType="begin"/>
      </w:r>
      <w:r>
        <w:rPr>
          <w:bCs/>
        </w:rPr>
        <w:instrText xml:space="preserve"> PAGEREF _Toc117350339 \h </w:instrText>
      </w:r>
      <w:r>
        <w:rPr>
          <w:bCs/>
        </w:rPr>
        <w:fldChar w:fldCharType="separate"/>
      </w:r>
      <w:r>
        <w:rPr>
          <w:bCs/>
        </w:rPr>
        <w:t>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"_Toc117350340" </w:instrText>
      </w:r>
      <w:r>
        <w:fldChar w:fldCharType="separate"/>
      </w:r>
      <w:r>
        <w:rPr>
          <w:rStyle w:val="47"/>
          <w:bCs/>
        </w:rPr>
        <w:t>1.13  偏离</w:t>
      </w:r>
      <w:r>
        <w:rPr>
          <w:bCs/>
        </w:rPr>
        <w:tab/>
      </w:r>
      <w:r>
        <w:rPr>
          <w:bCs/>
        </w:rPr>
        <w:fldChar w:fldCharType="begin"/>
      </w:r>
      <w:r>
        <w:rPr>
          <w:bCs/>
        </w:rPr>
        <w:instrText xml:space="preserve"> PAGEREF _Toc117350340 \h </w:instrText>
      </w:r>
      <w:r>
        <w:rPr>
          <w:bCs/>
        </w:rPr>
        <w:fldChar w:fldCharType="separate"/>
      </w:r>
      <w:r>
        <w:rPr>
          <w:bCs/>
        </w:rPr>
        <w:t>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"_Toc117350341" </w:instrText>
      </w:r>
      <w:r>
        <w:fldChar w:fldCharType="separate"/>
      </w:r>
      <w:r>
        <w:rPr>
          <w:rStyle w:val="47"/>
          <w:b w:val="0"/>
        </w:rPr>
        <w:t>2.招标文件</w:t>
      </w:r>
      <w:r>
        <w:rPr>
          <w:b w:val="0"/>
        </w:rPr>
        <w:tab/>
      </w:r>
      <w:r>
        <w:rPr>
          <w:b w:val="0"/>
        </w:rPr>
        <w:fldChar w:fldCharType="begin"/>
      </w:r>
      <w:r>
        <w:rPr>
          <w:b w:val="0"/>
        </w:rPr>
        <w:instrText xml:space="preserve"> PAGEREF _Toc117350341 \h </w:instrText>
      </w:r>
      <w:r>
        <w:rPr>
          <w:b w:val="0"/>
        </w:rPr>
        <w:fldChar w:fldCharType="separate"/>
      </w:r>
      <w:r>
        <w:rPr>
          <w:b w:val="0"/>
        </w:rPr>
        <w:t>9</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"_Toc117350342" </w:instrText>
      </w:r>
      <w:r>
        <w:fldChar w:fldCharType="separate"/>
      </w:r>
      <w:r>
        <w:rPr>
          <w:rStyle w:val="47"/>
          <w:bCs/>
        </w:rPr>
        <w:t>2.1  招标文件的组成</w:t>
      </w:r>
      <w:r>
        <w:rPr>
          <w:bCs/>
        </w:rPr>
        <w:tab/>
      </w:r>
      <w:r>
        <w:rPr>
          <w:bCs/>
        </w:rPr>
        <w:fldChar w:fldCharType="begin"/>
      </w:r>
      <w:r>
        <w:rPr>
          <w:bCs/>
        </w:rPr>
        <w:instrText xml:space="preserve"> PAGEREF _Toc117350342 \h </w:instrText>
      </w:r>
      <w:r>
        <w:rPr>
          <w:bCs/>
        </w:rPr>
        <w:fldChar w:fldCharType="separate"/>
      </w:r>
      <w:r>
        <w:rPr>
          <w:bCs/>
        </w:rPr>
        <w:t>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"_Toc117350343" </w:instrText>
      </w:r>
      <w:r>
        <w:fldChar w:fldCharType="separate"/>
      </w:r>
      <w:r>
        <w:rPr>
          <w:rStyle w:val="47"/>
          <w:bCs/>
        </w:rPr>
        <w:t>2.2  招标文件的澄清</w:t>
      </w:r>
      <w:r>
        <w:rPr>
          <w:bCs/>
        </w:rPr>
        <w:tab/>
      </w:r>
      <w:r>
        <w:rPr>
          <w:bCs/>
        </w:rPr>
        <w:fldChar w:fldCharType="begin"/>
      </w:r>
      <w:r>
        <w:rPr>
          <w:bCs/>
        </w:rPr>
        <w:instrText xml:space="preserve"> PAGEREF _Toc117350343 \h </w:instrText>
      </w:r>
      <w:r>
        <w:rPr>
          <w:bCs/>
        </w:rPr>
        <w:fldChar w:fldCharType="separate"/>
      </w:r>
      <w:r>
        <w:rPr>
          <w:bCs/>
        </w:rPr>
        <w:t>10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"_Toc117350344" </w:instrText>
      </w:r>
      <w:r>
        <w:fldChar w:fldCharType="separate"/>
      </w:r>
      <w:r>
        <w:rPr>
          <w:rStyle w:val="47"/>
          <w:bCs/>
        </w:rPr>
        <w:t>2.3  招标文件的修改</w:t>
      </w:r>
      <w:r>
        <w:rPr>
          <w:bCs/>
        </w:rPr>
        <w:tab/>
      </w:r>
      <w:r>
        <w:rPr>
          <w:bCs/>
        </w:rPr>
        <w:fldChar w:fldCharType="begin"/>
      </w:r>
      <w:r>
        <w:rPr>
          <w:bCs/>
        </w:rPr>
        <w:instrText xml:space="preserve"> PAGEREF _Toc117350344 \h </w:instrText>
      </w:r>
      <w:r>
        <w:rPr>
          <w:bCs/>
        </w:rPr>
        <w:fldChar w:fldCharType="separate"/>
      </w:r>
      <w:r>
        <w:rPr>
          <w:bCs/>
        </w:rPr>
        <w:t>10</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"_Toc117350345" </w:instrText>
      </w:r>
      <w:r>
        <w:fldChar w:fldCharType="separate"/>
      </w:r>
      <w:r>
        <w:rPr>
          <w:rStyle w:val="47"/>
          <w:b w:val="0"/>
        </w:rPr>
        <w:t>3.投标文件</w:t>
      </w:r>
      <w:r>
        <w:rPr>
          <w:b w:val="0"/>
        </w:rPr>
        <w:tab/>
      </w:r>
      <w:r>
        <w:rPr>
          <w:b w:val="0"/>
        </w:rPr>
        <w:fldChar w:fldCharType="begin"/>
      </w:r>
      <w:r>
        <w:rPr>
          <w:b w:val="0"/>
        </w:rPr>
        <w:instrText xml:space="preserve"> PAGEREF _Toc117350345 \h </w:instrText>
      </w:r>
      <w:r>
        <w:rPr>
          <w:b w:val="0"/>
        </w:rPr>
        <w:fldChar w:fldCharType="separate"/>
      </w:r>
      <w:r>
        <w:rPr>
          <w:b w:val="0"/>
        </w:rPr>
        <w:t>10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"_Toc117350346" </w:instrText>
      </w:r>
      <w:r>
        <w:fldChar w:fldCharType="separate"/>
      </w:r>
      <w:r>
        <w:rPr>
          <w:rStyle w:val="47"/>
          <w:bCs/>
        </w:rPr>
        <w:t>3.1  投标文件的组成</w:t>
      </w:r>
      <w:r>
        <w:rPr>
          <w:bCs/>
        </w:rPr>
        <w:tab/>
      </w:r>
      <w:r>
        <w:rPr>
          <w:bCs/>
        </w:rPr>
        <w:fldChar w:fldCharType="begin"/>
      </w:r>
      <w:r>
        <w:rPr>
          <w:bCs/>
        </w:rPr>
        <w:instrText xml:space="preserve"> PAGEREF _Toc117350346 \h </w:instrText>
      </w:r>
      <w:r>
        <w:rPr>
          <w:bCs/>
        </w:rPr>
        <w:fldChar w:fldCharType="separate"/>
      </w:r>
      <w:r>
        <w:rPr>
          <w:bCs/>
        </w:rPr>
        <w:t>10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"_Toc117350347" </w:instrText>
      </w:r>
      <w:r>
        <w:fldChar w:fldCharType="separate"/>
      </w:r>
      <w:r>
        <w:rPr>
          <w:rStyle w:val="47"/>
          <w:bCs/>
        </w:rPr>
        <w:t>3.2  投标报价</w:t>
      </w:r>
      <w:r>
        <w:rPr>
          <w:bCs/>
        </w:rPr>
        <w:tab/>
      </w:r>
      <w:r>
        <w:rPr>
          <w:bCs/>
        </w:rPr>
        <w:fldChar w:fldCharType="begin"/>
      </w:r>
      <w:r>
        <w:rPr>
          <w:bCs/>
        </w:rPr>
        <w:instrText xml:space="preserve"> PAGEREF _Toc117350347 \h </w:instrText>
      </w:r>
      <w:r>
        <w:rPr>
          <w:bCs/>
        </w:rPr>
        <w:fldChar w:fldCharType="separate"/>
      </w:r>
      <w:r>
        <w:rPr>
          <w:bCs/>
        </w:rPr>
        <w:t>11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"_Toc117350348" </w:instrText>
      </w:r>
      <w:r>
        <w:fldChar w:fldCharType="separate"/>
      </w:r>
      <w:r>
        <w:rPr>
          <w:rStyle w:val="47"/>
          <w:bCs/>
        </w:rPr>
        <w:t>3.3  投标有效期</w:t>
      </w:r>
      <w:r>
        <w:rPr>
          <w:bCs/>
        </w:rPr>
        <w:tab/>
      </w:r>
      <w:r>
        <w:rPr>
          <w:bCs/>
        </w:rPr>
        <w:fldChar w:fldCharType="begin"/>
      </w:r>
      <w:r>
        <w:rPr>
          <w:bCs/>
        </w:rPr>
        <w:instrText xml:space="preserve"> PAGEREF _Toc117350348 \h </w:instrText>
      </w:r>
      <w:r>
        <w:rPr>
          <w:bCs/>
        </w:rPr>
        <w:fldChar w:fldCharType="separate"/>
      </w:r>
      <w:r>
        <w:rPr>
          <w:bCs/>
        </w:rPr>
        <w:t>11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"_Toc117350349" </w:instrText>
      </w:r>
      <w:r>
        <w:fldChar w:fldCharType="separate"/>
      </w:r>
      <w:r>
        <w:rPr>
          <w:rStyle w:val="47"/>
          <w:bCs/>
        </w:rPr>
        <w:t>3.4  投标保证金</w:t>
      </w:r>
      <w:r>
        <w:rPr>
          <w:bCs/>
        </w:rPr>
        <w:tab/>
      </w:r>
      <w:r>
        <w:rPr>
          <w:bCs/>
        </w:rPr>
        <w:fldChar w:fldCharType="begin"/>
      </w:r>
      <w:r>
        <w:rPr>
          <w:bCs/>
        </w:rPr>
        <w:instrText xml:space="preserve"> PAGEREF _Toc117350349 \h </w:instrText>
      </w:r>
      <w:r>
        <w:rPr>
          <w:bCs/>
        </w:rPr>
        <w:fldChar w:fldCharType="separate"/>
      </w:r>
      <w:r>
        <w:rPr>
          <w:bCs/>
        </w:rPr>
        <w:t>11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"_Toc117350350" </w:instrText>
      </w:r>
      <w:r>
        <w:fldChar w:fldCharType="separate"/>
      </w:r>
      <w:r>
        <w:rPr>
          <w:rStyle w:val="47"/>
          <w:bCs/>
        </w:rPr>
        <w:t>3.5  资格审查资料</w:t>
      </w:r>
      <w:r>
        <w:rPr>
          <w:bCs/>
        </w:rPr>
        <w:tab/>
      </w:r>
      <w:r>
        <w:rPr>
          <w:bCs/>
        </w:rPr>
        <w:fldChar w:fldCharType="begin"/>
      </w:r>
      <w:r>
        <w:rPr>
          <w:bCs/>
        </w:rPr>
        <w:instrText xml:space="preserve"> PAGEREF _Toc117350350 \h </w:instrText>
      </w:r>
      <w:r>
        <w:rPr>
          <w:bCs/>
        </w:rPr>
        <w:fldChar w:fldCharType="separate"/>
      </w:r>
      <w:r>
        <w:rPr>
          <w:bCs/>
        </w:rPr>
        <w:t>12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"_Toc117350351" </w:instrText>
      </w:r>
      <w:r>
        <w:fldChar w:fldCharType="separate"/>
      </w:r>
      <w:r>
        <w:rPr>
          <w:rStyle w:val="47"/>
          <w:bCs/>
        </w:rPr>
        <w:t>3.6  备选投标方案</w:t>
      </w:r>
      <w:r>
        <w:rPr>
          <w:bCs/>
        </w:rPr>
        <w:tab/>
      </w:r>
      <w:r>
        <w:rPr>
          <w:bCs/>
        </w:rPr>
        <w:fldChar w:fldCharType="begin"/>
      </w:r>
      <w:r>
        <w:rPr>
          <w:bCs/>
        </w:rPr>
        <w:instrText xml:space="preserve"> PAGEREF _Toc117350351 \h </w:instrText>
      </w:r>
      <w:r>
        <w:rPr>
          <w:bCs/>
        </w:rPr>
        <w:fldChar w:fldCharType="separate"/>
      </w:r>
      <w:r>
        <w:rPr>
          <w:bCs/>
        </w:rPr>
        <w:t>12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"_Toc117350352" </w:instrText>
      </w:r>
      <w:r>
        <w:fldChar w:fldCharType="separate"/>
      </w:r>
      <w:r>
        <w:rPr>
          <w:rStyle w:val="47"/>
          <w:bCs/>
        </w:rPr>
        <w:t>3.7  投标文件的编制</w:t>
      </w:r>
      <w:r>
        <w:rPr>
          <w:bCs/>
        </w:rPr>
        <w:tab/>
      </w:r>
      <w:r>
        <w:rPr>
          <w:bCs/>
        </w:rPr>
        <w:fldChar w:fldCharType="begin"/>
      </w:r>
      <w:r>
        <w:rPr>
          <w:bCs/>
        </w:rPr>
        <w:instrText xml:space="preserve"> PAGEREF _Toc117350352 \h </w:instrText>
      </w:r>
      <w:r>
        <w:rPr>
          <w:bCs/>
        </w:rPr>
        <w:fldChar w:fldCharType="separate"/>
      </w:r>
      <w:r>
        <w:rPr>
          <w:bCs/>
        </w:rPr>
        <w:t>12</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"_Toc117350353" </w:instrText>
      </w:r>
      <w:r>
        <w:fldChar w:fldCharType="separate"/>
      </w:r>
      <w:r>
        <w:rPr>
          <w:rStyle w:val="47"/>
          <w:b w:val="0"/>
        </w:rPr>
        <w:t>4.投标</w:t>
      </w:r>
      <w:r>
        <w:rPr>
          <w:b w:val="0"/>
        </w:rPr>
        <w:tab/>
      </w:r>
      <w:r>
        <w:rPr>
          <w:b w:val="0"/>
        </w:rPr>
        <w:fldChar w:fldCharType="begin"/>
      </w:r>
      <w:r>
        <w:rPr>
          <w:b w:val="0"/>
        </w:rPr>
        <w:instrText xml:space="preserve"> PAGEREF _Toc117350353 \h </w:instrText>
      </w:r>
      <w:r>
        <w:rPr>
          <w:b w:val="0"/>
        </w:rPr>
        <w:fldChar w:fldCharType="separate"/>
      </w:r>
      <w:r>
        <w:rPr>
          <w:b w:val="0"/>
        </w:rPr>
        <w:t>13</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"_Toc117350354" </w:instrText>
      </w:r>
      <w:r>
        <w:fldChar w:fldCharType="separate"/>
      </w:r>
      <w:r>
        <w:rPr>
          <w:rStyle w:val="47"/>
          <w:bCs/>
        </w:rPr>
        <w:t>4.1  投标文件的密封和标识（适用于网络递交方式）</w:t>
      </w:r>
      <w:r>
        <w:rPr>
          <w:bCs/>
        </w:rPr>
        <w:tab/>
      </w:r>
      <w:r>
        <w:rPr>
          <w:bCs/>
        </w:rPr>
        <w:fldChar w:fldCharType="begin"/>
      </w:r>
      <w:r>
        <w:rPr>
          <w:bCs/>
        </w:rPr>
        <w:instrText xml:space="preserve"> PAGEREF _Toc117350354 \h </w:instrText>
      </w:r>
      <w:r>
        <w:rPr>
          <w:bCs/>
        </w:rPr>
        <w:fldChar w:fldCharType="separate"/>
      </w:r>
      <w:r>
        <w:rPr>
          <w:bCs/>
        </w:rPr>
        <w:t>13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"_Toc117350355" </w:instrText>
      </w:r>
      <w:r>
        <w:fldChar w:fldCharType="separate"/>
      </w:r>
      <w:r>
        <w:rPr>
          <w:rStyle w:val="47"/>
          <w:bCs/>
        </w:rPr>
        <w:t>4.2  投标文件的递交（适用于网络递交方式）</w:t>
      </w:r>
      <w:r>
        <w:rPr>
          <w:bCs/>
        </w:rPr>
        <w:tab/>
      </w:r>
      <w:r>
        <w:rPr>
          <w:bCs/>
        </w:rPr>
        <w:fldChar w:fldCharType="begin"/>
      </w:r>
      <w:r>
        <w:rPr>
          <w:bCs/>
        </w:rPr>
        <w:instrText xml:space="preserve"> PAGEREF _Toc117350355 \h </w:instrText>
      </w:r>
      <w:r>
        <w:rPr>
          <w:bCs/>
        </w:rPr>
        <w:fldChar w:fldCharType="separate"/>
      </w:r>
      <w:r>
        <w:rPr>
          <w:bCs/>
        </w:rPr>
        <w:t>13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"_Toc117350356" </w:instrText>
      </w:r>
      <w:r>
        <w:fldChar w:fldCharType="separate"/>
      </w:r>
      <w:r>
        <w:rPr>
          <w:rStyle w:val="47"/>
          <w:bCs/>
        </w:rPr>
        <w:t>4.3  投标文件的修改与撤回（适用于网络递交方式）</w:t>
      </w:r>
      <w:r>
        <w:rPr>
          <w:bCs/>
        </w:rPr>
        <w:tab/>
      </w:r>
      <w:r>
        <w:rPr>
          <w:bCs/>
        </w:rPr>
        <w:fldChar w:fldCharType="begin"/>
      </w:r>
      <w:r>
        <w:rPr>
          <w:bCs/>
        </w:rPr>
        <w:instrText xml:space="preserve"> PAGEREF _Toc117350356 \h </w:instrText>
      </w:r>
      <w:r>
        <w:rPr>
          <w:bCs/>
        </w:rPr>
        <w:fldChar w:fldCharType="separate"/>
      </w:r>
      <w:r>
        <w:rPr>
          <w:bCs/>
        </w:rPr>
        <w:t>13</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"_Toc117350357" </w:instrText>
      </w:r>
      <w:r>
        <w:fldChar w:fldCharType="separate"/>
      </w:r>
      <w:r>
        <w:rPr>
          <w:rStyle w:val="47"/>
          <w:b w:val="0"/>
        </w:rPr>
        <w:t>5.开标</w:t>
      </w:r>
      <w:r>
        <w:rPr>
          <w:b w:val="0"/>
        </w:rPr>
        <w:tab/>
      </w:r>
      <w:r>
        <w:rPr>
          <w:b w:val="0"/>
        </w:rPr>
        <w:fldChar w:fldCharType="begin"/>
      </w:r>
      <w:r>
        <w:rPr>
          <w:b w:val="0"/>
        </w:rPr>
        <w:instrText xml:space="preserve"> PAGEREF _Toc117350357 \h </w:instrText>
      </w:r>
      <w:r>
        <w:rPr>
          <w:b w:val="0"/>
        </w:rPr>
        <w:fldChar w:fldCharType="separate"/>
      </w:r>
      <w:r>
        <w:rPr>
          <w:b w:val="0"/>
        </w:rPr>
        <w:t>14</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"_Toc117350358" </w:instrText>
      </w:r>
      <w:r>
        <w:fldChar w:fldCharType="separate"/>
      </w:r>
      <w:r>
        <w:rPr>
          <w:rStyle w:val="47"/>
          <w:bCs/>
        </w:rPr>
        <w:t>5.1  开标时间和地点（适用于现场开标）</w:t>
      </w:r>
      <w:r>
        <w:rPr>
          <w:bCs/>
        </w:rPr>
        <w:tab/>
      </w:r>
      <w:r>
        <w:rPr>
          <w:bCs/>
        </w:rPr>
        <w:fldChar w:fldCharType="begin"/>
      </w:r>
      <w:r>
        <w:rPr>
          <w:bCs/>
        </w:rPr>
        <w:instrText xml:space="preserve"> PAGEREF _Toc117350358 \h </w:instrText>
      </w:r>
      <w:r>
        <w:rPr>
          <w:bCs/>
        </w:rPr>
        <w:fldChar w:fldCharType="separate"/>
      </w:r>
      <w:r>
        <w:rPr>
          <w:bCs/>
        </w:rPr>
        <w:t>14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"_Toc117350359" </w:instrText>
      </w:r>
      <w:r>
        <w:fldChar w:fldCharType="separate"/>
      </w:r>
      <w:r>
        <w:rPr>
          <w:rStyle w:val="47"/>
          <w:bCs/>
        </w:rPr>
        <w:t>5.1  开标时间和网址（适用于远程在线开标）</w:t>
      </w:r>
      <w:r>
        <w:rPr>
          <w:bCs/>
        </w:rPr>
        <w:tab/>
      </w:r>
      <w:r>
        <w:rPr>
          <w:bCs/>
        </w:rPr>
        <w:fldChar w:fldCharType="begin"/>
      </w:r>
      <w:r>
        <w:rPr>
          <w:bCs/>
        </w:rPr>
        <w:instrText xml:space="preserve"> PAGEREF _Toc117350359 \h </w:instrText>
      </w:r>
      <w:r>
        <w:rPr>
          <w:bCs/>
        </w:rPr>
        <w:fldChar w:fldCharType="separate"/>
      </w:r>
      <w:r>
        <w:rPr>
          <w:bCs/>
        </w:rPr>
        <w:t>14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"_Toc117350360" </w:instrText>
      </w:r>
      <w:r>
        <w:fldChar w:fldCharType="separate"/>
      </w:r>
      <w:r>
        <w:rPr>
          <w:rStyle w:val="47"/>
          <w:bCs/>
        </w:rPr>
        <w:t>5.2  投标人代表出席开标会（适用于现场开标）</w:t>
      </w:r>
      <w:r>
        <w:rPr>
          <w:bCs/>
        </w:rPr>
        <w:tab/>
      </w:r>
      <w:r>
        <w:rPr>
          <w:bCs/>
        </w:rPr>
        <w:fldChar w:fldCharType="begin"/>
      </w:r>
      <w:r>
        <w:rPr>
          <w:bCs/>
        </w:rPr>
        <w:instrText xml:space="preserve"> PAGEREF _Toc117350360 \h </w:instrText>
      </w:r>
      <w:r>
        <w:rPr>
          <w:bCs/>
        </w:rPr>
        <w:fldChar w:fldCharType="separate"/>
      </w:r>
      <w:r>
        <w:rPr>
          <w:bCs/>
        </w:rPr>
        <w:t>14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"_Toc117350361" </w:instrText>
      </w:r>
      <w:r>
        <w:fldChar w:fldCharType="separate"/>
      </w:r>
      <w:r>
        <w:rPr>
          <w:rStyle w:val="47"/>
          <w:bCs/>
        </w:rPr>
        <w:t>5.2  投标人出席开标会（适用于远程在线开标）</w:t>
      </w:r>
      <w:r>
        <w:rPr>
          <w:bCs/>
        </w:rPr>
        <w:tab/>
      </w:r>
      <w:r>
        <w:rPr>
          <w:bCs/>
        </w:rPr>
        <w:fldChar w:fldCharType="begin"/>
      </w:r>
      <w:r>
        <w:rPr>
          <w:bCs/>
        </w:rPr>
        <w:instrText xml:space="preserve"> PAGEREF _Toc117350361 \h </w:instrText>
      </w:r>
      <w:r>
        <w:rPr>
          <w:bCs/>
        </w:rPr>
        <w:fldChar w:fldCharType="separate"/>
      </w:r>
      <w:r>
        <w:rPr>
          <w:bCs/>
        </w:rPr>
        <w:t>14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"_Toc117350362" </w:instrText>
      </w:r>
      <w:r>
        <w:fldChar w:fldCharType="separate"/>
      </w:r>
      <w:r>
        <w:rPr>
          <w:rStyle w:val="47"/>
          <w:bCs/>
        </w:rPr>
        <w:t>5.3  开标程序（适用于网络递交方式，现场开标）</w:t>
      </w:r>
      <w:r>
        <w:rPr>
          <w:bCs/>
        </w:rPr>
        <w:tab/>
      </w:r>
      <w:r>
        <w:rPr>
          <w:bCs/>
        </w:rPr>
        <w:fldChar w:fldCharType="begin"/>
      </w:r>
      <w:r>
        <w:rPr>
          <w:bCs/>
        </w:rPr>
        <w:instrText xml:space="preserve"> PAGEREF _Toc117350362 \h </w:instrText>
      </w:r>
      <w:r>
        <w:rPr>
          <w:bCs/>
        </w:rPr>
        <w:fldChar w:fldCharType="separate"/>
      </w:r>
      <w:r>
        <w:rPr>
          <w:bCs/>
        </w:rPr>
        <w:t>14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"_Toc117350363" </w:instrText>
      </w:r>
      <w:r>
        <w:fldChar w:fldCharType="separate"/>
      </w:r>
      <w:r>
        <w:rPr>
          <w:rStyle w:val="47"/>
          <w:bCs/>
        </w:rPr>
        <w:t>5.3  开标程序（适用于网络递交方式，远程在线开标）</w:t>
      </w:r>
      <w:r>
        <w:rPr>
          <w:bCs/>
        </w:rPr>
        <w:tab/>
      </w:r>
      <w:r>
        <w:rPr>
          <w:bCs/>
        </w:rPr>
        <w:fldChar w:fldCharType="begin"/>
      </w:r>
      <w:r>
        <w:rPr>
          <w:bCs/>
        </w:rPr>
        <w:instrText xml:space="preserve"> PAGEREF _Toc117350363 \h </w:instrText>
      </w:r>
      <w:r>
        <w:rPr>
          <w:bCs/>
        </w:rPr>
        <w:fldChar w:fldCharType="separate"/>
      </w:r>
      <w:r>
        <w:rPr>
          <w:bCs/>
        </w:rPr>
        <w:t>15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"_Toc117350364" </w:instrText>
      </w:r>
      <w:r>
        <w:fldChar w:fldCharType="separate"/>
      </w:r>
      <w:r>
        <w:rPr>
          <w:rStyle w:val="47"/>
          <w:bCs/>
        </w:rPr>
        <w:t>5.4  信用标采集注意事项（适用于采用信用评审方式）</w:t>
      </w:r>
      <w:r>
        <w:rPr>
          <w:bCs/>
        </w:rPr>
        <w:tab/>
      </w:r>
      <w:r>
        <w:rPr>
          <w:bCs/>
        </w:rPr>
        <w:fldChar w:fldCharType="begin"/>
      </w:r>
      <w:r>
        <w:rPr>
          <w:bCs/>
        </w:rPr>
        <w:instrText xml:space="preserve"> PAGEREF _Toc117350364 \h </w:instrText>
      </w:r>
      <w:r>
        <w:rPr>
          <w:bCs/>
        </w:rPr>
        <w:fldChar w:fldCharType="separate"/>
      </w:r>
      <w:r>
        <w:rPr>
          <w:bCs/>
        </w:rPr>
        <w:t>16</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"_Toc117350365" </w:instrText>
      </w:r>
      <w:r>
        <w:fldChar w:fldCharType="separate"/>
      </w:r>
      <w:r>
        <w:rPr>
          <w:rStyle w:val="47"/>
          <w:b w:val="0"/>
        </w:rPr>
        <w:t>6.评标</w:t>
      </w:r>
      <w:r>
        <w:rPr>
          <w:b w:val="0"/>
        </w:rPr>
        <w:tab/>
      </w:r>
      <w:r>
        <w:rPr>
          <w:b w:val="0"/>
        </w:rPr>
        <w:fldChar w:fldCharType="begin"/>
      </w:r>
      <w:r>
        <w:rPr>
          <w:b w:val="0"/>
        </w:rPr>
        <w:instrText xml:space="preserve"> PAGEREF _Toc117350365 \h </w:instrText>
      </w:r>
      <w:r>
        <w:rPr>
          <w:b w:val="0"/>
        </w:rPr>
        <w:fldChar w:fldCharType="separate"/>
      </w:r>
      <w:r>
        <w:rPr>
          <w:b w:val="0"/>
        </w:rPr>
        <w:t>17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"_Toc117350366" </w:instrText>
      </w:r>
      <w:r>
        <w:fldChar w:fldCharType="separate"/>
      </w:r>
      <w:r>
        <w:rPr>
          <w:rStyle w:val="47"/>
          <w:bCs/>
        </w:rPr>
        <w:t>6.1  评标委员会</w:t>
      </w:r>
      <w:r>
        <w:rPr>
          <w:bCs/>
        </w:rPr>
        <w:tab/>
      </w:r>
      <w:r>
        <w:rPr>
          <w:bCs/>
        </w:rPr>
        <w:fldChar w:fldCharType="begin"/>
      </w:r>
      <w:r>
        <w:rPr>
          <w:bCs/>
        </w:rPr>
        <w:instrText xml:space="preserve"> PAGEREF _Toc117350366 \h </w:instrText>
      </w:r>
      <w:r>
        <w:rPr>
          <w:bCs/>
        </w:rPr>
        <w:fldChar w:fldCharType="separate"/>
      </w:r>
      <w:r>
        <w:rPr>
          <w:bCs/>
        </w:rPr>
        <w:t>17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"_Toc117350367" </w:instrText>
      </w:r>
      <w:r>
        <w:fldChar w:fldCharType="separate"/>
      </w:r>
      <w:r>
        <w:rPr>
          <w:rStyle w:val="47"/>
          <w:bCs/>
        </w:rPr>
        <w:t>6.2  评标原则</w:t>
      </w:r>
      <w:r>
        <w:rPr>
          <w:bCs/>
        </w:rPr>
        <w:tab/>
      </w:r>
      <w:r>
        <w:rPr>
          <w:bCs/>
        </w:rPr>
        <w:fldChar w:fldCharType="begin"/>
      </w:r>
      <w:r>
        <w:rPr>
          <w:bCs/>
        </w:rPr>
        <w:instrText xml:space="preserve"> PAGEREF _Toc117350367 \h </w:instrText>
      </w:r>
      <w:r>
        <w:rPr>
          <w:bCs/>
        </w:rPr>
        <w:fldChar w:fldCharType="separate"/>
      </w:r>
      <w:r>
        <w:rPr>
          <w:bCs/>
        </w:rPr>
        <w:t>18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"_Toc117350368" </w:instrText>
      </w:r>
      <w:r>
        <w:fldChar w:fldCharType="separate"/>
      </w:r>
      <w:r>
        <w:rPr>
          <w:rStyle w:val="47"/>
          <w:bCs/>
        </w:rPr>
        <w:t>6.3  评标</w:t>
      </w:r>
      <w:r>
        <w:rPr>
          <w:bCs/>
        </w:rPr>
        <w:tab/>
      </w:r>
      <w:r>
        <w:rPr>
          <w:bCs/>
        </w:rPr>
        <w:fldChar w:fldCharType="begin"/>
      </w:r>
      <w:r>
        <w:rPr>
          <w:bCs/>
        </w:rPr>
        <w:instrText xml:space="preserve"> PAGEREF _Toc117350368 \h </w:instrText>
      </w:r>
      <w:r>
        <w:rPr>
          <w:bCs/>
        </w:rPr>
        <w:fldChar w:fldCharType="separate"/>
      </w:r>
      <w:r>
        <w:rPr>
          <w:bCs/>
        </w:rPr>
        <w:t>18</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"_Toc117350369" </w:instrText>
      </w:r>
      <w:r>
        <w:fldChar w:fldCharType="separate"/>
      </w:r>
      <w:r>
        <w:rPr>
          <w:rStyle w:val="47"/>
          <w:b w:val="0"/>
        </w:rPr>
        <w:t>7.合同授予</w:t>
      </w:r>
      <w:r>
        <w:rPr>
          <w:b w:val="0"/>
        </w:rPr>
        <w:tab/>
      </w:r>
      <w:r>
        <w:rPr>
          <w:b w:val="0"/>
        </w:rPr>
        <w:fldChar w:fldCharType="begin"/>
      </w:r>
      <w:r>
        <w:rPr>
          <w:b w:val="0"/>
        </w:rPr>
        <w:instrText xml:space="preserve"> PAGEREF _Toc117350369 \h </w:instrText>
      </w:r>
      <w:r>
        <w:rPr>
          <w:b w:val="0"/>
        </w:rPr>
        <w:fldChar w:fldCharType="separate"/>
      </w:r>
      <w:r>
        <w:rPr>
          <w:b w:val="0"/>
        </w:rPr>
        <w:t>18</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"_Toc117350370" </w:instrText>
      </w:r>
      <w:r>
        <w:fldChar w:fldCharType="separate"/>
      </w:r>
      <w:r>
        <w:rPr>
          <w:rStyle w:val="47"/>
          <w:bCs/>
        </w:rPr>
        <w:t>7.1  定标方式及方法</w:t>
      </w:r>
      <w:r>
        <w:rPr>
          <w:bCs/>
        </w:rPr>
        <w:tab/>
      </w:r>
      <w:r>
        <w:rPr>
          <w:bCs/>
        </w:rPr>
        <w:fldChar w:fldCharType="begin"/>
      </w:r>
      <w:r>
        <w:rPr>
          <w:bCs/>
        </w:rPr>
        <w:instrText xml:space="preserve"> PAGEREF _Toc117350370 \h </w:instrText>
      </w:r>
      <w:r>
        <w:rPr>
          <w:bCs/>
        </w:rPr>
        <w:fldChar w:fldCharType="separate"/>
      </w:r>
      <w:r>
        <w:rPr>
          <w:bCs/>
        </w:rPr>
        <w:t>18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"_Toc117350371" </w:instrText>
      </w:r>
      <w:r>
        <w:fldChar w:fldCharType="separate"/>
      </w:r>
      <w:r>
        <w:rPr>
          <w:rStyle w:val="47"/>
          <w:bCs/>
        </w:rPr>
        <w:t>7.2  中标候选人公示</w:t>
      </w:r>
      <w:r>
        <w:rPr>
          <w:bCs/>
        </w:rPr>
        <w:tab/>
      </w:r>
      <w:r>
        <w:rPr>
          <w:bCs/>
        </w:rPr>
        <w:fldChar w:fldCharType="begin"/>
      </w:r>
      <w:r>
        <w:rPr>
          <w:bCs/>
        </w:rPr>
        <w:instrText xml:space="preserve"> PAGEREF _Toc117350371 \h </w:instrText>
      </w:r>
      <w:r>
        <w:rPr>
          <w:bCs/>
        </w:rPr>
        <w:fldChar w:fldCharType="separate"/>
      </w:r>
      <w:r>
        <w:rPr>
          <w:bCs/>
        </w:rPr>
        <w:t>18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"_Toc117350372" </w:instrText>
      </w:r>
      <w:r>
        <w:fldChar w:fldCharType="separate"/>
      </w:r>
      <w:r>
        <w:rPr>
          <w:rStyle w:val="47"/>
          <w:bCs/>
        </w:rPr>
        <w:t>7.3  中标通知</w:t>
      </w:r>
      <w:r>
        <w:rPr>
          <w:bCs/>
        </w:rPr>
        <w:tab/>
      </w:r>
      <w:r>
        <w:rPr>
          <w:bCs/>
        </w:rPr>
        <w:fldChar w:fldCharType="begin"/>
      </w:r>
      <w:r>
        <w:rPr>
          <w:bCs/>
        </w:rPr>
        <w:instrText xml:space="preserve"> PAGEREF _Toc117350372 \h </w:instrText>
      </w:r>
      <w:r>
        <w:rPr>
          <w:bCs/>
        </w:rPr>
        <w:fldChar w:fldCharType="separate"/>
      </w:r>
      <w:r>
        <w:rPr>
          <w:bCs/>
        </w:rPr>
        <w:t>19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"_Toc117350373" </w:instrText>
      </w:r>
      <w:r>
        <w:fldChar w:fldCharType="separate"/>
      </w:r>
      <w:r>
        <w:rPr>
          <w:rStyle w:val="47"/>
          <w:bCs/>
        </w:rPr>
        <w:t>7.4  履约担保</w:t>
      </w:r>
      <w:r>
        <w:rPr>
          <w:bCs/>
        </w:rPr>
        <w:tab/>
      </w:r>
      <w:r>
        <w:rPr>
          <w:bCs/>
        </w:rPr>
        <w:fldChar w:fldCharType="begin"/>
      </w:r>
      <w:r>
        <w:rPr>
          <w:bCs/>
        </w:rPr>
        <w:instrText xml:space="preserve"> PAGEREF _Toc117350373 \h </w:instrText>
      </w:r>
      <w:r>
        <w:rPr>
          <w:bCs/>
        </w:rPr>
        <w:fldChar w:fldCharType="separate"/>
      </w:r>
      <w:r>
        <w:rPr>
          <w:bCs/>
        </w:rPr>
        <w:t>19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"_Toc117350374" </w:instrText>
      </w:r>
      <w:r>
        <w:fldChar w:fldCharType="separate"/>
      </w:r>
      <w:r>
        <w:rPr>
          <w:rStyle w:val="47"/>
          <w:bCs/>
        </w:rPr>
        <w:t>7.5  签订合同</w:t>
      </w:r>
      <w:r>
        <w:rPr>
          <w:bCs/>
        </w:rPr>
        <w:tab/>
      </w:r>
      <w:r>
        <w:rPr>
          <w:bCs/>
        </w:rPr>
        <w:fldChar w:fldCharType="begin"/>
      </w:r>
      <w:r>
        <w:rPr>
          <w:bCs/>
        </w:rPr>
        <w:instrText xml:space="preserve"> PAGEREF _Toc117350374 \h </w:instrText>
      </w:r>
      <w:r>
        <w:rPr>
          <w:bCs/>
        </w:rPr>
        <w:fldChar w:fldCharType="separate"/>
      </w:r>
      <w:r>
        <w:rPr>
          <w:bCs/>
        </w:rPr>
        <w:t>19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"_Toc117350375" </w:instrText>
      </w:r>
      <w:r>
        <w:fldChar w:fldCharType="separate"/>
      </w:r>
      <w:r>
        <w:rPr>
          <w:rStyle w:val="47"/>
          <w:b w:val="0"/>
        </w:rPr>
        <w:t>8.重新招标和不再招标</w:t>
      </w:r>
      <w:r>
        <w:rPr>
          <w:b w:val="0"/>
        </w:rPr>
        <w:tab/>
      </w:r>
      <w:r>
        <w:rPr>
          <w:b w:val="0"/>
        </w:rPr>
        <w:fldChar w:fldCharType="begin"/>
      </w:r>
      <w:r>
        <w:rPr>
          <w:b w:val="0"/>
        </w:rPr>
        <w:instrText xml:space="preserve"> PAGEREF _Toc117350375 \h </w:instrText>
      </w:r>
      <w:r>
        <w:rPr>
          <w:b w:val="0"/>
        </w:rPr>
        <w:fldChar w:fldCharType="separate"/>
      </w:r>
      <w:r>
        <w:rPr>
          <w:b w:val="0"/>
        </w:rPr>
        <w:t>20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"_Toc117350376" </w:instrText>
      </w:r>
      <w:r>
        <w:fldChar w:fldCharType="separate"/>
      </w:r>
      <w:r>
        <w:rPr>
          <w:rStyle w:val="47"/>
          <w:bCs/>
        </w:rPr>
        <w:t>8.1  重新招标</w:t>
      </w:r>
      <w:r>
        <w:rPr>
          <w:bCs/>
        </w:rPr>
        <w:tab/>
      </w:r>
      <w:r>
        <w:rPr>
          <w:bCs/>
        </w:rPr>
        <w:fldChar w:fldCharType="begin"/>
      </w:r>
      <w:r>
        <w:rPr>
          <w:bCs/>
        </w:rPr>
        <w:instrText xml:space="preserve"> PAGEREF _Toc117350376 \h </w:instrText>
      </w:r>
      <w:r>
        <w:rPr>
          <w:bCs/>
        </w:rPr>
        <w:fldChar w:fldCharType="separate"/>
      </w:r>
      <w:r>
        <w:rPr>
          <w:bCs/>
        </w:rPr>
        <w:t>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"_Toc117350377" </w:instrText>
      </w:r>
      <w:r>
        <w:fldChar w:fldCharType="separate"/>
      </w:r>
      <w:r>
        <w:rPr>
          <w:rStyle w:val="47"/>
          <w:bCs/>
        </w:rPr>
        <w:t>8.2  不再招标</w:t>
      </w:r>
      <w:r>
        <w:rPr>
          <w:bCs/>
        </w:rPr>
        <w:tab/>
      </w:r>
      <w:r>
        <w:rPr>
          <w:bCs/>
        </w:rPr>
        <w:fldChar w:fldCharType="begin"/>
      </w:r>
      <w:r>
        <w:rPr>
          <w:bCs/>
        </w:rPr>
        <w:instrText xml:space="preserve"> PAGEREF _Toc117350377 \h </w:instrText>
      </w:r>
      <w:r>
        <w:rPr>
          <w:bCs/>
        </w:rPr>
        <w:fldChar w:fldCharType="separate"/>
      </w:r>
      <w:r>
        <w:rPr>
          <w:bCs/>
        </w:rPr>
        <w:t>20</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"_Toc117350378" </w:instrText>
      </w:r>
      <w:r>
        <w:fldChar w:fldCharType="separate"/>
      </w:r>
      <w:r>
        <w:rPr>
          <w:rStyle w:val="47"/>
          <w:b w:val="0"/>
        </w:rPr>
        <w:t>9.纪律和监督</w:t>
      </w:r>
      <w:r>
        <w:rPr>
          <w:b w:val="0"/>
        </w:rPr>
        <w:tab/>
      </w:r>
      <w:r>
        <w:rPr>
          <w:b w:val="0"/>
        </w:rPr>
        <w:fldChar w:fldCharType="begin"/>
      </w:r>
      <w:r>
        <w:rPr>
          <w:b w:val="0"/>
        </w:rPr>
        <w:instrText xml:space="preserve"> PAGEREF _Toc117350378 \h </w:instrText>
      </w:r>
      <w:r>
        <w:rPr>
          <w:b w:val="0"/>
        </w:rPr>
        <w:fldChar w:fldCharType="separate"/>
      </w:r>
      <w:r>
        <w:rPr>
          <w:b w:val="0"/>
        </w:rPr>
        <w:t>20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"_Toc117350379" </w:instrText>
      </w:r>
      <w:r>
        <w:fldChar w:fldCharType="separate"/>
      </w:r>
      <w:r>
        <w:rPr>
          <w:rStyle w:val="47"/>
          <w:bCs/>
        </w:rPr>
        <w:t>9.1  对招标人的纪律要求</w:t>
      </w:r>
      <w:r>
        <w:rPr>
          <w:bCs/>
        </w:rPr>
        <w:tab/>
      </w:r>
      <w:r>
        <w:rPr>
          <w:bCs/>
        </w:rPr>
        <w:fldChar w:fldCharType="begin"/>
      </w:r>
      <w:r>
        <w:rPr>
          <w:bCs/>
        </w:rPr>
        <w:instrText xml:space="preserve"> PAGEREF _Toc117350379 \h </w:instrText>
      </w:r>
      <w:r>
        <w:rPr>
          <w:bCs/>
        </w:rPr>
        <w:fldChar w:fldCharType="separate"/>
      </w:r>
      <w:r>
        <w:rPr>
          <w:bCs/>
        </w:rPr>
        <w:t>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"_Toc117350380" </w:instrText>
      </w:r>
      <w:r>
        <w:fldChar w:fldCharType="separate"/>
      </w:r>
      <w:r>
        <w:rPr>
          <w:rStyle w:val="47"/>
          <w:bCs/>
        </w:rPr>
        <w:t>9.2  对投标人的纪律要求</w:t>
      </w:r>
      <w:r>
        <w:rPr>
          <w:bCs/>
        </w:rPr>
        <w:tab/>
      </w:r>
      <w:r>
        <w:rPr>
          <w:bCs/>
        </w:rPr>
        <w:fldChar w:fldCharType="begin"/>
      </w:r>
      <w:r>
        <w:rPr>
          <w:bCs/>
        </w:rPr>
        <w:instrText xml:space="preserve"> PAGEREF _Toc117350380 \h </w:instrText>
      </w:r>
      <w:r>
        <w:rPr>
          <w:bCs/>
        </w:rPr>
        <w:fldChar w:fldCharType="separate"/>
      </w:r>
      <w:r>
        <w:rPr>
          <w:bCs/>
        </w:rPr>
        <w:t>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"_Toc117350381" </w:instrText>
      </w:r>
      <w:r>
        <w:fldChar w:fldCharType="separate"/>
      </w:r>
      <w:r>
        <w:rPr>
          <w:rStyle w:val="47"/>
          <w:bCs/>
        </w:rPr>
        <w:t>9.3  对评标委员会成员的纪律要求</w:t>
      </w:r>
      <w:r>
        <w:rPr>
          <w:bCs/>
        </w:rPr>
        <w:tab/>
      </w:r>
      <w:r>
        <w:rPr>
          <w:bCs/>
        </w:rPr>
        <w:fldChar w:fldCharType="begin"/>
      </w:r>
      <w:r>
        <w:rPr>
          <w:bCs/>
        </w:rPr>
        <w:instrText xml:space="preserve"> PAGEREF _Toc117350381 \h </w:instrText>
      </w:r>
      <w:r>
        <w:rPr>
          <w:bCs/>
        </w:rPr>
        <w:fldChar w:fldCharType="separate"/>
      </w:r>
      <w:r>
        <w:rPr>
          <w:bCs/>
        </w:rPr>
        <w:t>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"_Toc117350382" </w:instrText>
      </w:r>
      <w:r>
        <w:fldChar w:fldCharType="separate"/>
      </w:r>
      <w:r>
        <w:rPr>
          <w:rStyle w:val="47"/>
          <w:bCs/>
        </w:rPr>
        <w:t>9.4  对与评标活动有关的工作人员的纪律要求</w:t>
      </w:r>
      <w:r>
        <w:rPr>
          <w:bCs/>
        </w:rPr>
        <w:tab/>
      </w:r>
      <w:r>
        <w:rPr>
          <w:bCs/>
        </w:rPr>
        <w:fldChar w:fldCharType="begin"/>
      </w:r>
      <w:r>
        <w:rPr>
          <w:bCs/>
        </w:rPr>
        <w:instrText xml:space="preserve"> PAGEREF _Toc117350382 \h </w:instrText>
      </w:r>
      <w:r>
        <w:rPr>
          <w:bCs/>
        </w:rPr>
        <w:fldChar w:fldCharType="separate"/>
      </w:r>
      <w:r>
        <w:rPr>
          <w:bCs/>
        </w:rPr>
        <w:t>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"_Toc117350383" </w:instrText>
      </w:r>
      <w:r>
        <w:fldChar w:fldCharType="separate"/>
      </w:r>
      <w:r>
        <w:rPr>
          <w:rStyle w:val="47"/>
          <w:bCs/>
        </w:rPr>
        <w:t>9.5  监督</w:t>
      </w:r>
      <w:r>
        <w:rPr>
          <w:bCs/>
        </w:rPr>
        <w:tab/>
      </w:r>
      <w:r>
        <w:rPr>
          <w:bCs/>
        </w:rPr>
        <w:fldChar w:fldCharType="begin"/>
      </w:r>
      <w:r>
        <w:rPr>
          <w:bCs/>
        </w:rPr>
        <w:instrText xml:space="preserve"> PAGEREF _Toc117350383 \h </w:instrText>
      </w:r>
      <w:r>
        <w:rPr>
          <w:bCs/>
        </w:rPr>
        <w:fldChar w:fldCharType="separate"/>
      </w:r>
      <w:r>
        <w:rPr>
          <w:bCs/>
        </w:rPr>
        <w:t>21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"_Toc117350384" </w:instrText>
      </w:r>
      <w:r>
        <w:fldChar w:fldCharType="separate"/>
      </w:r>
      <w:r>
        <w:rPr>
          <w:rStyle w:val="47"/>
          <w:bCs/>
        </w:rPr>
        <w:t>9.6  异议与投诉</w:t>
      </w:r>
      <w:r>
        <w:rPr>
          <w:bCs/>
        </w:rPr>
        <w:tab/>
      </w:r>
      <w:r>
        <w:rPr>
          <w:bCs/>
        </w:rPr>
        <w:fldChar w:fldCharType="begin"/>
      </w:r>
      <w:r>
        <w:rPr>
          <w:bCs/>
        </w:rPr>
        <w:instrText xml:space="preserve"> PAGEREF _Toc117350384 \h </w:instrText>
      </w:r>
      <w:r>
        <w:rPr>
          <w:bCs/>
        </w:rPr>
        <w:fldChar w:fldCharType="separate"/>
      </w:r>
      <w:r>
        <w:rPr>
          <w:bCs/>
        </w:rPr>
        <w:t>21</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"_Toc117350385" </w:instrText>
      </w:r>
      <w:r>
        <w:fldChar w:fldCharType="separate"/>
      </w:r>
      <w:r>
        <w:rPr>
          <w:rStyle w:val="47"/>
          <w:b w:val="0"/>
        </w:rPr>
        <w:t>10.知识产权</w:t>
      </w:r>
      <w:r>
        <w:rPr>
          <w:b w:val="0"/>
        </w:rPr>
        <w:tab/>
      </w:r>
      <w:r>
        <w:rPr>
          <w:b w:val="0"/>
        </w:rPr>
        <w:fldChar w:fldCharType="begin"/>
      </w:r>
      <w:r>
        <w:rPr>
          <w:b w:val="0"/>
        </w:rPr>
        <w:instrText xml:space="preserve"> PAGEREF _Toc117350385 \h </w:instrText>
      </w:r>
      <w:r>
        <w:rPr>
          <w:b w:val="0"/>
        </w:rPr>
        <w:fldChar w:fldCharType="separate"/>
      </w:r>
      <w:r>
        <w:rPr>
          <w:b w:val="0"/>
        </w:rPr>
        <w:t>21</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"_Toc117350386" </w:instrText>
      </w:r>
      <w:r>
        <w:fldChar w:fldCharType="separate"/>
      </w:r>
      <w:r>
        <w:rPr>
          <w:rStyle w:val="47"/>
          <w:b w:val="0"/>
        </w:rPr>
        <w:t>11.解释权</w:t>
      </w:r>
      <w:r>
        <w:rPr>
          <w:b w:val="0"/>
        </w:rPr>
        <w:tab/>
      </w:r>
      <w:r>
        <w:rPr>
          <w:b w:val="0"/>
        </w:rPr>
        <w:fldChar w:fldCharType="begin"/>
      </w:r>
      <w:r>
        <w:rPr>
          <w:b w:val="0"/>
        </w:rPr>
        <w:instrText xml:space="preserve"> PAGEREF _Toc117350386 \h </w:instrText>
      </w:r>
      <w:r>
        <w:rPr>
          <w:b w:val="0"/>
        </w:rPr>
        <w:fldChar w:fldCharType="separate"/>
      </w:r>
      <w:r>
        <w:rPr>
          <w:b w:val="0"/>
        </w:rPr>
        <w:t>21</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"_Toc117350387" </w:instrText>
      </w:r>
      <w:r>
        <w:fldChar w:fldCharType="separate"/>
      </w:r>
      <w:r>
        <w:rPr>
          <w:rStyle w:val="47"/>
          <w:b w:val="0"/>
        </w:rPr>
        <w:t>12.其他补充内容</w:t>
      </w:r>
      <w:r>
        <w:rPr>
          <w:b w:val="0"/>
        </w:rPr>
        <w:tab/>
      </w:r>
      <w:r>
        <w:rPr>
          <w:b w:val="0"/>
        </w:rPr>
        <w:fldChar w:fldCharType="begin"/>
      </w:r>
      <w:r>
        <w:rPr>
          <w:b w:val="0"/>
        </w:rPr>
        <w:instrText xml:space="preserve"> PAGEREF _Toc117350387 \h </w:instrText>
      </w:r>
      <w:r>
        <w:rPr>
          <w:b w:val="0"/>
        </w:rPr>
        <w:fldChar w:fldCharType="separate"/>
      </w:r>
      <w:r>
        <w:rPr>
          <w:b w:val="0"/>
        </w:rPr>
        <w:t>22</w:t>
      </w:r>
      <w:r>
        <w:rPr>
          <w:b w:val="0"/>
        </w:rPr>
        <w:fldChar w:fldCharType="end"/>
      </w:r>
      <w:r>
        <w:rPr>
          <w:b w:val="0"/>
        </w:rPr>
        <w:fldChar w:fldCharType="end"/>
      </w:r>
    </w:p>
    <w:p>
      <w:pPr>
        <w:pStyle w:val="29"/>
        <w:rPr>
          <w:rFonts w:asciiTheme="minorHAnsi" w:hAnsiTheme="minorHAnsi" w:eastAsiaTheme="minorEastAsia" w:cstheme="minorBidi"/>
          <w:caps w:val="0"/>
          <w:szCs w:val="22"/>
        </w:rPr>
      </w:pPr>
      <w:r>
        <w:fldChar w:fldCharType="begin"/>
      </w:r>
      <w:r>
        <w:instrText xml:space="preserve"> HYPERLINK \l "_Toc117350388" </w:instrText>
      </w:r>
      <w:r>
        <w:fldChar w:fldCharType="separate"/>
      </w:r>
      <w:r>
        <w:rPr>
          <w:rStyle w:val="47"/>
        </w:rPr>
        <w:t>第三章  评标办法通用部分</w:t>
      </w:r>
      <w:r>
        <w:tab/>
      </w:r>
      <w:r>
        <w:fldChar w:fldCharType="begin"/>
      </w:r>
      <w:r>
        <w:instrText xml:space="preserve"> PAGEREF _Toc117350388 \h </w:instrText>
      </w:r>
      <w:r>
        <w:fldChar w:fldCharType="separate"/>
      </w:r>
      <w:r>
        <w:t>23</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"_Toc117350389" </w:instrText>
      </w:r>
      <w:r>
        <w:fldChar w:fldCharType="separate"/>
      </w:r>
      <w:r>
        <w:rPr>
          <w:rStyle w:val="47"/>
          <w:b w:val="0"/>
        </w:rPr>
        <w:t>1.评标方法</w:t>
      </w:r>
      <w:r>
        <w:rPr>
          <w:b w:val="0"/>
        </w:rPr>
        <w:tab/>
      </w:r>
      <w:r>
        <w:rPr>
          <w:b w:val="0"/>
        </w:rPr>
        <w:fldChar w:fldCharType="begin"/>
      </w:r>
      <w:r>
        <w:rPr>
          <w:b w:val="0"/>
        </w:rPr>
        <w:instrText xml:space="preserve"> PAGEREF _Toc117350389 \h </w:instrText>
      </w:r>
      <w:r>
        <w:rPr>
          <w:b w:val="0"/>
        </w:rPr>
        <w:fldChar w:fldCharType="separate"/>
      </w:r>
      <w:r>
        <w:rPr>
          <w:b w:val="0"/>
        </w:rPr>
        <w:t>25</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"_Toc117350390" </w:instrText>
      </w:r>
      <w:r>
        <w:fldChar w:fldCharType="separate"/>
      </w:r>
      <w:r>
        <w:rPr>
          <w:rStyle w:val="47"/>
          <w:b w:val="0"/>
        </w:rPr>
        <w:t>2.评审标准</w:t>
      </w:r>
      <w:r>
        <w:rPr>
          <w:b w:val="0"/>
        </w:rPr>
        <w:tab/>
      </w:r>
      <w:r>
        <w:rPr>
          <w:b w:val="0"/>
        </w:rPr>
        <w:fldChar w:fldCharType="begin"/>
      </w:r>
      <w:r>
        <w:rPr>
          <w:b w:val="0"/>
        </w:rPr>
        <w:instrText xml:space="preserve"> PAGEREF _Toc117350390 \h </w:instrText>
      </w:r>
      <w:r>
        <w:rPr>
          <w:b w:val="0"/>
        </w:rPr>
        <w:fldChar w:fldCharType="separate"/>
      </w:r>
      <w:r>
        <w:rPr>
          <w:b w:val="0"/>
        </w:rPr>
        <w:t>25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"_Toc117350391" </w:instrText>
      </w:r>
      <w:r>
        <w:fldChar w:fldCharType="separate"/>
      </w:r>
      <w:r>
        <w:rPr>
          <w:rStyle w:val="47"/>
          <w:bCs/>
        </w:rPr>
        <w:t>2.1  初步评审标准</w:t>
      </w:r>
      <w:r>
        <w:rPr>
          <w:bCs/>
        </w:rPr>
        <w:tab/>
      </w:r>
      <w:r>
        <w:rPr>
          <w:bCs/>
        </w:rPr>
        <w:fldChar w:fldCharType="begin"/>
      </w:r>
      <w:r>
        <w:rPr>
          <w:bCs/>
        </w:rPr>
        <w:instrText xml:space="preserve"> PAGEREF _Toc117350391 \h </w:instrText>
      </w:r>
      <w:r>
        <w:rPr>
          <w:bCs/>
        </w:rPr>
        <w:fldChar w:fldCharType="separate"/>
      </w:r>
      <w:r>
        <w:rPr>
          <w:bCs/>
        </w:rPr>
        <w:t>25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"_Toc117350392" </w:instrText>
      </w:r>
      <w:r>
        <w:fldChar w:fldCharType="separate"/>
      </w:r>
      <w:r>
        <w:rPr>
          <w:rStyle w:val="47"/>
          <w:bCs/>
        </w:rPr>
        <w:t>2.2  分值构成与评分标准</w:t>
      </w:r>
      <w:r>
        <w:rPr>
          <w:bCs/>
        </w:rPr>
        <w:tab/>
      </w:r>
      <w:r>
        <w:rPr>
          <w:bCs/>
        </w:rPr>
        <w:fldChar w:fldCharType="begin"/>
      </w:r>
      <w:r>
        <w:rPr>
          <w:bCs/>
        </w:rPr>
        <w:instrText xml:space="preserve"> PAGEREF _Toc117350392 \h </w:instrText>
      </w:r>
      <w:r>
        <w:rPr>
          <w:bCs/>
        </w:rPr>
        <w:fldChar w:fldCharType="separate"/>
      </w:r>
      <w:r>
        <w:rPr>
          <w:bCs/>
        </w:rPr>
        <w:t>25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"_Toc117350393" </w:instrText>
      </w:r>
      <w:r>
        <w:fldChar w:fldCharType="separate"/>
      </w:r>
      <w:r>
        <w:rPr>
          <w:rStyle w:val="47"/>
          <w:b w:val="0"/>
        </w:rPr>
        <w:t>3.评标程序</w:t>
      </w:r>
      <w:r>
        <w:rPr>
          <w:b w:val="0"/>
        </w:rPr>
        <w:tab/>
      </w:r>
      <w:r>
        <w:rPr>
          <w:b w:val="0"/>
        </w:rPr>
        <w:fldChar w:fldCharType="begin"/>
      </w:r>
      <w:r>
        <w:rPr>
          <w:b w:val="0"/>
        </w:rPr>
        <w:instrText xml:space="preserve"> PAGEREF _Toc117350393 \h </w:instrText>
      </w:r>
      <w:r>
        <w:rPr>
          <w:b w:val="0"/>
        </w:rPr>
        <w:fldChar w:fldCharType="separate"/>
      </w:r>
      <w:r>
        <w:rPr>
          <w:b w:val="0"/>
        </w:rPr>
        <w:t>26</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"_Toc117350394" </w:instrText>
      </w:r>
      <w:r>
        <w:fldChar w:fldCharType="separate"/>
      </w:r>
      <w:r>
        <w:rPr>
          <w:rStyle w:val="47"/>
          <w:bCs/>
        </w:rPr>
        <w:t>3.1  基本程序</w:t>
      </w:r>
      <w:r>
        <w:rPr>
          <w:bCs/>
        </w:rPr>
        <w:tab/>
      </w:r>
      <w:r>
        <w:rPr>
          <w:bCs/>
        </w:rPr>
        <w:fldChar w:fldCharType="begin"/>
      </w:r>
      <w:r>
        <w:rPr>
          <w:bCs/>
        </w:rPr>
        <w:instrText xml:space="preserve"> PAGEREF _Toc117350394 \h </w:instrText>
      </w:r>
      <w:r>
        <w:rPr>
          <w:bCs/>
        </w:rPr>
        <w:fldChar w:fldCharType="separate"/>
      </w:r>
      <w:r>
        <w:rPr>
          <w:bCs/>
        </w:rPr>
        <w:t>26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"_Toc117350395" </w:instrText>
      </w:r>
      <w:r>
        <w:fldChar w:fldCharType="separate"/>
      </w:r>
      <w:r>
        <w:rPr>
          <w:rStyle w:val="47"/>
          <w:bCs/>
        </w:rPr>
        <w:t>3.2  评标准备</w:t>
      </w:r>
      <w:r>
        <w:rPr>
          <w:bCs/>
        </w:rPr>
        <w:tab/>
      </w:r>
      <w:r>
        <w:rPr>
          <w:bCs/>
        </w:rPr>
        <w:fldChar w:fldCharType="begin"/>
      </w:r>
      <w:r>
        <w:rPr>
          <w:bCs/>
        </w:rPr>
        <w:instrText xml:space="preserve"> PAGEREF _Toc117350395 \h </w:instrText>
      </w:r>
      <w:r>
        <w:rPr>
          <w:bCs/>
        </w:rPr>
        <w:fldChar w:fldCharType="separate"/>
      </w:r>
      <w:r>
        <w:rPr>
          <w:bCs/>
        </w:rPr>
        <w:t>26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"_Toc117350396" </w:instrText>
      </w:r>
      <w:r>
        <w:fldChar w:fldCharType="separate"/>
      </w:r>
      <w:r>
        <w:rPr>
          <w:rStyle w:val="47"/>
          <w:bCs/>
        </w:rPr>
        <w:t>3.3  初步评审</w:t>
      </w:r>
      <w:r>
        <w:rPr>
          <w:bCs/>
        </w:rPr>
        <w:tab/>
      </w:r>
      <w:r>
        <w:rPr>
          <w:bCs/>
        </w:rPr>
        <w:fldChar w:fldCharType="begin"/>
      </w:r>
      <w:r>
        <w:rPr>
          <w:bCs/>
        </w:rPr>
        <w:instrText xml:space="preserve"> PAGEREF _Toc117350396 \h </w:instrText>
      </w:r>
      <w:r>
        <w:rPr>
          <w:bCs/>
        </w:rPr>
        <w:fldChar w:fldCharType="separate"/>
      </w:r>
      <w:r>
        <w:rPr>
          <w:bCs/>
        </w:rPr>
        <w:t>27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"_Toc117350397" </w:instrText>
      </w:r>
      <w:r>
        <w:fldChar w:fldCharType="separate"/>
      </w:r>
      <w:r>
        <w:rPr>
          <w:rStyle w:val="47"/>
          <w:bCs/>
        </w:rPr>
        <w:t>3.4  详细评审</w:t>
      </w:r>
      <w:r>
        <w:rPr>
          <w:bCs/>
        </w:rPr>
        <w:tab/>
      </w:r>
      <w:r>
        <w:rPr>
          <w:bCs/>
        </w:rPr>
        <w:fldChar w:fldCharType="begin"/>
      </w:r>
      <w:r>
        <w:rPr>
          <w:bCs/>
        </w:rPr>
        <w:instrText xml:space="preserve"> PAGEREF _Toc117350397 \h </w:instrText>
      </w:r>
      <w:r>
        <w:rPr>
          <w:bCs/>
        </w:rPr>
        <w:fldChar w:fldCharType="separate"/>
      </w:r>
      <w:r>
        <w:rPr>
          <w:bCs/>
        </w:rPr>
        <w:t>29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"_Toc117350398" </w:instrText>
      </w:r>
      <w:r>
        <w:fldChar w:fldCharType="separate"/>
      </w:r>
      <w:r>
        <w:rPr>
          <w:rStyle w:val="47"/>
          <w:bCs/>
        </w:rPr>
        <w:t>3.5  投标文件的澄清和补正</w:t>
      </w:r>
      <w:r>
        <w:rPr>
          <w:bCs/>
        </w:rPr>
        <w:tab/>
      </w:r>
      <w:r>
        <w:rPr>
          <w:bCs/>
        </w:rPr>
        <w:fldChar w:fldCharType="begin"/>
      </w:r>
      <w:r>
        <w:rPr>
          <w:bCs/>
        </w:rPr>
        <w:instrText xml:space="preserve"> PAGEREF _Toc117350398 \h </w:instrText>
      </w:r>
      <w:r>
        <w:rPr>
          <w:bCs/>
        </w:rPr>
        <w:fldChar w:fldCharType="separate"/>
      </w:r>
      <w:r>
        <w:rPr>
          <w:bCs/>
        </w:rPr>
        <w:t>31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"_Toc117350399" </w:instrText>
      </w:r>
      <w:r>
        <w:fldChar w:fldCharType="separate"/>
      </w:r>
      <w:r>
        <w:rPr>
          <w:rStyle w:val="47"/>
          <w:bCs/>
        </w:rPr>
        <w:t>3.6  推荐中标候选人或者直接确定中标人</w:t>
      </w:r>
      <w:r>
        <w:rPr>
          <w:bCs/>
        </w:rPr>
        <w:tab/>
      </w:r>
      <w:r>
        <w:rPr>
          <w:bCs/>
        </w:rPr>
        <w:fldChar w:fldCharType="begin"/>
      </w:r>
      <w:r>
        <w:rPr>
          <w:bCs/>
        </w:rPr>
        <w:instrText xml:space="preserve"> PAGEREF _Toc117350399 \h </w:instrText>
      </w:r>
      <w:r>
        <w:rPr>
          <w:bCs/>
        </w:rPr>
        <w:fldChar w:fldCharType="separate"/>
      </w:r>
      <w:r>
        <w:rPr>
          <w:bCs/>
        </w:rPr>
        <w:t>31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"_Toc117350400" </w:instrText>
      </w:r>
      <w:r>
        <w:fldChar w:fldCharType="separate"/>
      </w:r>
      <w:r>
        <w:rPr>
          <w:rStyle w:val="47"/>
          <w:bCs/>
        </w:rPr>
        <w:t>3.7  特殊情况的处置程序</w:t>
      </w:r>
      <w:r>
        <w:rPr>
          <w:bCs/>
        </w:rPr>
        <w:tab/>
      </w:r>
      <w:r>
        <w:rPr>
          <w:bCs/>
        </w:rPr>
        <w:fldChar w:fldCharType="begin"/>
      </w:r>
      <w:r>
        <w:rPr>
          <w:bCs/>
        </w:rPr>
        <w:instrText xml:space="preserve"> PAGEREF _Toc117350400 \h </w:instrText>
      </w:r>
      <w:r>
        <w:rPr>
          <w:bCs/>
        </w:rPr>
        <w:fldChar w:fldCharType="separate"/>
      </w:r>
      <w:r>
        <w:rPr>
          <w:bCs/>
        </w:rPr>
        <w:t>33</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"_Toc117350401" </w:instrText>
      </w:r>
      <w:r>
        <w:fldChar w:fldCharType="separate"/>
      </w:r>
      <w:r>
        <w:rPr>
          <w:rStyle w:val="47"/>
          <w:b w:val="0"/>
        </w:rPr>
        <w:t>4.补充条款</w:t>
      </w:r>
      <w:r>
        <w:rPr>
          <w:b w:val="0"/>
        </w:rPr>
        <w:tab/>
      </w:r>
      <w:r>
        <w:rPr>
          <w:b w:val="0"/>
        </w:rPr>
        <w:fldChar w:fldCharType="begin"/>
      </w:r>
      <w:r>
        <w:rPr>
          <w:b w:val="0"/>
        </w:rPr>
        <w:instrText xml:space="preserve"> PAGEREF _Toc117350401 \h </w:instrText>
      </w:r>
      <w:r>
        <w:rPr>
          <w:b w:val="0"/>
        </w:rPr>
        <w:fldChar w:fldCharType="separate"/>
      </w:r>
      <w:r>
        <w:rPr>
          <w:b w:val="0"/>
        </w:rPr>
        <w:t>35</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"_Toc117350402" </w:instrText>
      </w:r>
      <w:r>
        <w:fldChar w:fldCharType="separate"/>
      </w:r>
      <w:r>
        <w:rPr>
          <w:rStyle w:val="47"/>
          <w:b w:val="0"/>
        </w:rPr>
        <w:t>附件A：否决投标条件</w:t>
      </w:r>
      <w:r>
        <w:rPr>
          <w:b w:val="0"/>
        </w:rPr>
        <w:tab/>
      </w:r>
      <w:r>
        <w:rPr>
          <w:b w:val="0"/>
        </w:rPr>
        <w:fldChar w:fldCharType="begin"/>
      </w:r>
      <w:r>
        <w:rPr>
          <w:b w:val="0"/>
        </w:rPr>
        <w:instrText xml:space="preserve"> PAGEREF _Toc117350402 \h </w:instrText>
      </w:r>
      <w:r>
        <w:rPr>
          <w:b w:val="0"/>
        </w:rPr>
        <w:fldChar w:fldCharType="separate"/>
      </w:r>
      <w:r>
        <w:rPr>
          <w:b w:val="0"/>
        </w:rPr>
        <w:t>36</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"_Toc117350403" </w:instrText>
      </w:r>
      <w:r>
        <w:fldChar w:fldCharType="separate"/>
      </w:r>
      <w:r>
        <w:rPr>
          <w:rStyle w:val="47"/>
          <w:b w:val="0"/>
        </w:rPr>
        <w:t>附件B：投标人成本评审办法</w:t>
      </w:r>
      <w:r>
        <w:rPr>
          <w:b w:val="0"/>
        </w:rPr>
        <w:tab/>
      </w:r>
      <w:r>
        <w:rPr>
          <w:b w:val="0"/>
        </w:rPr>
        <w:fldChar w:fldCharType="begin"/>
      </w:r>
      <w:r>
        <w:rPr>
          <w:b w:val="0"/>
        </w:rPr>
        <w:instrText xml:space="preserve"> PAGEREF _Toc117350403 \h </w:instrText>
      </w:r>
      <w:r>
        <w:rPr>
          <w:b w:val="0"/>
        </w:rPr>
        <w:fldChar w:fldCharType="separate"/>
      </w:r>
      <w:r>
        <w:rPr>
          <w:b w:val="0"/>
        </w:rPr>
        <w:t>37</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"_Toc117350404" </w:instrText>
      </w:r>
      <w:r>
        <w:fldChar w:fldCharType="separate"/>
      </w:r>
      <w:r>
        <w:rPr>
          <w:rStyle w:val="47"/>
          <w:b w:val="0"/>
        </w:rPr>
        <w:t>附件C：备选投标方案的评审和比较方法</w:t>
      </w:r>
      <w:r>
        <w:rPr>
          <w:b w:val="0"/>
        </w:rPr>
        <w:tab/>
      </w:r>
      <w:r>
        <w:rPr>
          <w:b w:val="0"/>
        </w:rPr>
        <w:fldChar w:fldCharType="begin"/>
      </w:r>
      <w:r>
        <w:rPr>
          <w:b w:val="0"/>
        </w:rPr>
        <w:instrText xml:space="preserve"> PAGEREF _Toc117350404 \h </w:instrText>
      </w:r>
      <w:r>
        <w:rPr>
          <w:b w:val="0"/>
        </w:rPr>
        <w:fldChar w:fldCharType="separate"/>
      </w:r>
      <w:r>
        <w:rPr>
          <w:b w:val="0"/>
        </w:rPr>
        <w:t>43</w:t>
      </w:r>
      <w:r>
        <w:rPr>
          <w:b w:val="0"/>
        </w:rPr>
        <w:fldChar w:fldCharType="end"/>
      </w:r>
      <w:r>
        <w:rPr>
          <w:b w:val="0"/>
        </w:rPr>
        <w:fldChar w:fldCharType="end"/>
      </w:r>
    </w:p>
    <w:p>
      <w:pPr>
        <w:pStyle w:val="29"/>
        <w:rPr>
          <w:rFonts w:asciiTheme="minorHAnsi" w:hAnsiTheme="minorHAnsi" w:eastAsiaTheme="minorEastAsia" w:cstheme="minorBidi"/>
          <w:caps w:val="0"/>
          <w:szCs w:val="22"/>
        </w:rPr>
      </w:pPr>
      <w:r>
        <w:fldChar w:fldCharType="begin"/>
      </w:r>
      <w:r>
        <w:instrText xml:space="preserve"> HYPERLINK \l "_Toc117350405" </w:instrText>
      </w:r>
      <w:r>
        <w:fldChar w:fldCharType="separate"/>
      </w:r>
      <w:r>
        <w:rPr>
          <w:rStyle w:val="47"/>
        </w:rPr>
        <w:t>第四章  合同条款通用部分</w:t>
      </w:r>
      <w:r>
        <w:tab/>
      </w:r>
      <w:r>
        <w:fldChar w:fldCharType="begin"/>
      </w:r>
      <w:r>
        <w:instrText xml:space="preserve"> PAGEREF _Toc117350405 \h </w:instrText>
      </w:r>
      <w:r>
        <w:fldChar w:fldCharType="separate"/>
      </w:r>
      <w:r>
        <w:t>45</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"_Toc117350406" </w:instrText>
      </w:r>
      <w:r>
        <w:fldChar w:fldCharType="separate"/>
      </w:r>
      <w:r>
        <w:rPr>
          <w:rStyle w:val="47"/>
          <w:b w:val="0"/>
        </w:rPr>
        <w:t>1.一般约定</w:t>
      </w:r>
      <w:r>
        <w:rPr>
          <w:b w:val="0"/>
        </w:rPr>
        <w:tab/>
      </w:r>
      <w:r>
        <w:rPr>
          <w:b w:val="0"/>
        </w:rPr>
        <w:fldChar w:fldCharType="begin"/>
      </w:r>
      <w:r>
        <w:rPr>
          <w:b w:val="0"/>
        </w:rPr>
        <w:instrText xml:space="preserve"> PAGEREF _Toc117350406 \h </w:instrText>
      </w:r>
      <w:r>
        <w:rPr>
          <w:b w:val="0"/>
        </w:rPr>
        <w:fldChar w:fldCharType="separate"/>
      </w:r>
      <w:r>
        <w:rPr>
          <w:b w:val="0"/>
        </w:rPr>
        <w:t>47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"_Toc117350407" </w:instrText>
      </w:r>
      <w:r>
        <w:fldChar w:fldCharType="separate"/>
      </w:r>
      <w:r>
        <w:rPr>
          <w:rStyle w:val="47"/>
          <w:bCs/>
        </w:rPr>
        <w:t>1.1  词语定义</w:t>
      </w:r>
      <w:r>
        <w:rPr>
          <w:bCs/>
        </w:rPr>
        <w:tab/>
      </w:r>
      <w:r>
        <w:rPr>
          <w:bCs/>
        </w:rPr>
        <w:fldChar w:fldCharType="begin"/>
      </w:r>
      <w:r>
        <w:rPr>
          <w:bCs/>
        </w:rPr>
        <w:instrText xml:space="preserve"> PAGEREF _Toc117350407 \h </w:instrText>
      </w:r>
      <w:r>
        <w:rPr>
          <w:bCs/>
        </w:rPr>
        <w:fldChar w:fldCharType="separate"/>
      </w:r>
      <w:r>
        <w:rPr>
          <w:bCs/>
        </w:rPr>
        <w:t>47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"_Toc117350408" </w:instrText>
      </w:r>
      <w:r>
        <w:fldChar w:fldCharType="separate"/>
      </w:r>
      <w:r>
        <w:rPr>
          <w:rStyle w:val="47"/>
          <w:bCs/>
        </w:rPr>
        <w:t>1.2  语言文字</w:t>
      </w:r>
      <w:r>
        <w:rPr>
          <w:bCs/>
        </w:rPr>
        <w:tab/>
      </w:r>
      <w:r>
        <w:rPr>
          <w:bCs/>
        </w:rPr>
        <w:fldChar w:fldCharType="begin"/>
      </w:r>
      <w:r>
        <w:rPr>
          <w:bCs/>
        </w:rPr>
        <w:instrText xml:space="preserve"> PAGEREF _Toc117350408 \h </w:instrText>
      </w:r>
      <w:r>
        <w:rPr>
          <w:bCs/>
        </w:rPr>
        <w:fldChar w:fldCharType="separate"/>
      </w:r>
      <w:r>
        <w:rPr>
          <w:bCs/>
        </w:rPr>
        <w:t>50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"_Toc117350409" </w:instrText>
      </w:r>
      <w:r>
        <w:fldChar w:fldCharType="separate"/>
      </w:r>
      <w:r>
        <w:rPr>
          <w:rStyle w:val="47"/>
          <w:bCs/>
        </w:rPr>
        <w:t>1.3  法律</w:t>
      </w:r>
      <w:r>
        <w:rPr>
          <w:bCs/>
        </w:rPr>
        <w:tab/>
      </w:r>
      <w:r>
        <w:rPr>
          <w:bCs/>
        </w:rPr>
        <w:fldChar w:fldCharType="begin"/>
      </w:r>
      <w:r>
        <w:rPr>
          <w:bCs/>
        </w:rPr>
        <w:instrText xml:space="preserve"> PAGEREF _Toc117350409 \h </w:instrText>
      </w:r>
      <w:r>
        <w:rPr>
          <w:bCs/>
        </w:rPr>
        <w:fldChar w:fldCharType="separate"/>
      </w:r>
      <w:r>
        <w:rPr>
          <w:bCs/>
        </w:rPr>
        <w:t>50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"_Toc117350410" </w:instrText>
      </w:r>
      <w:r>
        <w:fldChar w:fldCharType="separate"/>
      </w:r>
      <w:r>
        <w:rPr>
          <w:rStyle w:val="47"/>
          <w:bCs/>
        </w:rPr>
        <w:t>1.4  合同文件的优先顺序</w:t>
      </w:r>
      <w:r>
        <w:rPr>
          <w:bCs/>
        </w:rPr>
        <w:tab/>
      </w:r>
      <w:r>
        <w:rPr>
          <w:bCs/>
        </w:rPr>
        <w:fldChar w:fldCharType="begin"/>
      </w:r>
      <w:r>
        <w:rPr>
          <w:bCs/>
        </w:rPr>
        <w:instrText xml:space="preserve"> PAGEREF _Toc117350410 \h </w:instrText>
      </w:r>
      <w:r>
        <w:rPr>
          <w:bCs/>
        </w:rPr>
        <w:fldChar w:fldCharType="separate"/>
      </w:r>
      <w:r>
        <w:rPr>
          <w:bCs/>
        </w:rPr>
        <w:t>50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"_Toc117350411" </w:instrText>
      </w:r>
      <w:r>
        <w:fldChar w:fldCharType="separate"/>
      </w:r>
      <w:r>
        <w:rPr>
          <w:rStyle w:val="47"/>
          <w:bCs/>
        </w:rPr>
        <w:t>1.5  合同协议书</w:t>
      </w:r>
      <w:r>
        <w:rPr>
          <w:bCs/>
        </w:rPr>
        <w:tab/>
      </w:r>
      <w:r>
        <w:rPr>
          <w:bCs/>
        </w:rPr>
        <w:fldChar w:fldCharType="begin"/>
      </w:r>
      <w:r>
        <w:rPr>
          <w:bCs/>
        </w:rPr>
        <w:instrText xml:space="preserve"> PAGEREF _Toc117350411 \h </w:instrText>
      </w:r>
      <w:r>
        <w:rPr>
          <w:bCs/>
        </w:rPr>
        <w:fldChar w:fldCharType="separate"/>
      </w:r>
      <w:r>
        <w:rPr>
          <w:bCs/>
        </w:rPr>
        <w:t>51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"_Toc117350412" </w:instrText>
      </w:r>
      <w:r>
        <w:fldChar w:fldCharType="separate"/>
      </w:r>
      <w:r>
        <w:rPr>
          <w:rStyle w:val="47"/>
          <w:bCs/>
        </w:rPr>
        <w:t>1.6  图纸和承包人文件</w:t>
      </w:r>
      <w:r>
        <w:rPr>
          <w:bCs/>
        </w:rPr>
        <w:tab/>
      </w:r>
      <w:r>
        <w:rPr>
          <w:bCs/>
        </w:rPr>
        <w:fldChar w:fldCharType="begin"/>
      </w:r>
      <w:r>
        <w:rPr>
          <w:bCs/>
        </w:rPr>
        <w:instrText xml:space="preserve"> PAGEREF _Toc117350412 \h </w:instrText>
      </w:r>
      <w:r>
        <w:rPr>
          <w:bCs/>
        </w:rPr>
        <w:fldChar w:fldCharType="separate"/>
      </w:r>
      <w:r>
        <w:rPr>
          <w:bCs/>
        </w:rPr>
        <w:t>51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"_Toc117350413" </w:instrText>
      </w:r>
      <w:r>
        <w:fldChar w:fldCharType="separate"/>
      </w:r>
      <w:r>
        <w:rPr>
          <w:rStyle w:val="47"/>
          <w:bCs/>
        </w:rPr>
        <w:t>1.7  联络</w:t>
      </w:r>
      <w:r>
        <w:rPr>
          <w:bCs/>
        </w:rPr>
        <w:tab/>
      </w:r>
      <w:r>
        <w:rPr>
          <w:bCs/>
        </w:rPr>
        <w:fldChar w:fldCharType="begin"/>
      </w:r>
      <w:r>
        <w:rPr>
          <w:bCs/>
        </w:rPr>
        <w:instrText xml:space="preserve"> PAGEREF _Toc117350413 \h </w:instrText>
      </w:r>
      <w:r>
        <w:rPr>
          <w:bCs/>
        </w:rPr>
        <w:fldChar w:fldCharType="separate"/>
      </w:r>
      <w:r>
        <w:rPr>
          <w:bCs/>
        </w:rPr>
        <w:t>52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"_Toc117350414" </w:instrText>
      </w:r>
      <w:r>
        <w:fldChar w:fldCharType="separate"/>
      </w:r>
      <w:r>
        <w:rPr>
          <w:rStyle w:val="47"/>
          <w:bCs/>
        </w:rPr>
        <w:t>1.8  转让</w:t>
      </w:r>
      <w:r>
        <w:rPr>
          <w:bCs/>
        </w:rPr>
        <w:tab/>
      </w:r>
      <w:r>
        <w:rPr>
          <w:bCs/>
        </w:rPr>
        <w:fldChar w:fldCharType="begin"/>
      </w:r>
      <w:r>
        <w:rPr>
          <w:bCs/>
        </w:rPr>
        <w:instrText xml:space="preserve"> PAGEREF _Toc117350414 \h </w:instrText>
      </w:r>
      <w:r>
        <w:rPr>
          <w:bCs/>
        </w:rPr>
        <w:fldChar w:fldCharType="separate"/>
      </w:r>
      <w:r>
        <w:rPr>
          <w:bCs/>
        </w:rPr>
        <w:t>52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"_Toc117350415" </w:instrText>
      </w:r>
      <w:r>
        <w:fldChar w:fldCharType="separate"/>
      </w:r>
      <w:r>
        <w:rPr>
          <w:rStyle w:val="47"/>
          <w:bCs/>
        </w:rPr>
        <w:t>1.9  严禁贿赂</w:t>
      </w:r>
      <w:r>
        <w:rPr>
          <w:bCs/>
        </w:rPr>
        <w:tab/>
      </w:r>
      <w:r>
        <w:rPr>
          <w:bCs/>
        </w:rPr>
        <w:fldChar w:fldCharType="begin"/>
      </w:r>
      <w:r>
        <w:rPr>
          <w:bCs/>
        </w:rPr>
        <w:instrText xml:space="preserve"> PAGEREF _Toc117350415 \h </w:instrText>
      </w:r>
      <w:r>
        <w:rPr>
          <w:bCs/>
        </w:rPr>
        <w:fldChar w:fldCharType="separate"/>
      </w:r>
      <w:r>
        <w:rPr>
          <w:bCs/>
        </w:rPr>
        <w:t>52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"_Toc117350416" </w:instrText>
      </w:r>
      <w:r>
        <w:fldChar w:fldCharType="separate"/>
      </w:r>
      <w:r>
        <w:rPr>
          <w:rStyle w:val="47"/>
          <w:bCs/>
        </w:rPr>
        <w:t>1.10  化石、文物</w:t>
      </w:r>
      <w:r>
        <w:rPr>
          <w:bCs/>
        </w:rPr>
        <w:tab/>
      </w:r>
      <w:r>
        <w:rPr>
          <w:bCs/>
        </w:rPr>
        <w:fldChar w:fldCharType="begin"/>
      </w:r>
      <w:r>
        <w:rPr>
          <w:bCs/>
        </w:rPr>
        <w:instrText xml:space="preserve"> PAGEREF _Toc117350416 \h </w:instrText>
      </w:r>
      <w:r>
        <w:rPr>
          <w:bCs/>
        </w:rPr>
        <w:fldChar w:fldCharType="separate"/>
      </w:r>
      <w:r>
        <w:rPr>
          <w:bCs/>
        </w:rPr>
        <w:t>53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"_Toc117350417" </w:instrText>
      </w:r>
      <w:r>
        <w:fldChar w:fldCharType="separate"/>
      </w:r>
      <w:r>
        <w:rPr>
          <w:rStyle w:val="47"/>
          <w:bCs/>
        </w:rPr>
        <w:t>1.11  专利技术</w:t>
      </w:r>
      <w:r>
        <w:rPr>
          <w:bCs/>
        </w:rPr>
        <w:tab/>
      </w:r>
      <w:r>
        <w:rPr>
          <w:bCs/>
        </w:rPr>
        <w:fldChar w:fldCharType="begin"/>
      </w:r>
      <w:r>
        <w:rPr>
          <w:bCs/>
        </w:rPr>
        <w:instrText xml:space="preserve"> PAGEREF _Toc117350417 \h </w:instrText>
      </w:r>
      <w:r>
        <w:rPr>
          <w:bCs/>
        </w:rPr>
        <w:fldChar w:fldCharType="separate"/>
      </w:r>
      <w:r>
        <w:rPr>
          <w:bCs/>
        </w:rPr>
        <w:t>53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"_Toc117350418" </w:instrText>
      </w:r>
      <w:r>
        <w:fldChar w:fldCharType="separate"/>
      </w:r>
      <w:r>
        <w:rPr>
          <w:rStyle w:val="47"/>
          <w:bCs/>
        </w:rPr>
        <w:t>1.12  图纸和文件的保密</w:t>
      </w:r>
      <w:r>
        <w:rPr>
          <w:bCs/>
        </w:rPr>
        <w:tab/>
      </w:r>
      <w:r>
        <w:rPr>
          <w:bCs/>
        </w:rPr>
        <w:fldChar w:fldCharType="begin"/>
      </w:r>
      <w:r>
        <w:rPr>
          <w:bCs/>
        </w:rPr>
        <w:instrText xml:space="preserve"> PAGEREF _Toc117350418 \h </w:instrText>
      </w:r>
      <w:r>
        <w:rPr>
          <w:bCs/>
        </w:rPr>
        <w:fldChar w:fldCharType="separate"/>
      </w:r>
      <w:r>
        <w:rPr>
          <w:bCs/>
        </w:rPr>
        <w:t>53</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"_Toc117350419" </w:instrText>
      </w:r>
      <w:r>
        <w:fldChar w:fldCharType="separate"/>
      </w:r>
      <w:r>
        <w:rPr>
          <w:rStyle w:val="47"/>
          <w:b w:val="0"/>
        </w:rPr>
        <w:t>2.发包人义务</w:t>
      </w:r>
      <w:r>
        <w:rPr>
          <w:b w:val="0"/>
        </w:rPr>
        <w:tab/>
      </w:r>
      <w:r>
        <w:rPr>
          <w:b w:val="0"/>
        </w:rPr>
        <w:fldChar w:fldCharType="begin"/>
      </w:r>
      <w:r>
        <w:rPr>
          <w:b w:val="0"/>
        </w:rPr>
        <w:instrText xml:space="preserve"> PAGEREF _Toc117350419 \h </w:instrText>
      </w:r>
      <w:r>
        <w:rPr>
          <w:b w:val="0"/>
        </w:rPr>
        <w:fldChar w:fldCharType="separate"/>
      </w:r>
      <w:r>
        <w:rPr>
          <w:b w:val="0"/>
        </w:rPr>
        <w:t>53</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"_Toc117350420" </w:instrText>
      </w:r>
      <w:r>
        <w:fldChar w:fldCharType="separate"/>
      </w:r>
      <w:r>
        <w:rPr>
          <w:rStyle w:val="47"/>
          <w:bCs/>
        </w:rPr>
        <w:t>2.1  遵守法律</w:t>
      </w:r>
      <w:r>
        <w:rPr>
          <w:bCs/>
        </w:rPr>
        <w:tab/>
      </w:r>
      <w:r>
        <w:rPr>
          <w:bCs/>
        </w:rPr>
        <w:fldChar w:fldCharType="begin"/>
      </w:r>
      <w:r>
        <w:rPr>
          <w:bCs/>
        </w:rPr>
        <w:instrText xml:space="preserve"> PAGEREF _Toc117350420 \h </w:instrText>
      </w:r>
      <w:r>
        <w:rPr>
          <w:bCs/>
        </w:rPr>
        <w:fldChar w:fldCharType="separate"/>
      </w:r>
      <w:r>
        <w:rPr>
          <w:bCs/>
        </w:rPr>
        <w:t>53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"_Toc117350421" </w:instrText>
      </w:r>
      <w:r>
        <w:fldChar w:fldCharType="separate"/>
      </w:r>
      <w:r>
        <w:rPr>
          <w:rStyle w:val="47"/>
          <w:bCs/>
        </w:rPr>
        <w:t>2.2  发出开工通知</w:t>
      </w:r>
      <w:r>
        <w:rPr>
          <w:bCs/>
        </w:rPr>
        <w:tab/>
      </w:r>
      <w:r>
        <w:rPr>
          <w:bCs/>
        </w:rPr>
        <w:fldChar w:fldCharType="begin"/>
      </w:r>
      <w:r>
        <w:rPr>
          <w:bCs/>
        </w:rPr>
        <w:instrText xml:space="preserve"> PAGEREF _Toc117350421 \h </w:instrText>
      </w:r>
      <w:r>
        <w:rPr>
          <w:bCs/>
        </w:rPr>
        <w:fldChar w:fldCharType="separate"/>
      </w:r>
      <w:r>
        <w:rPr>
          <w:bCs/>
        </w:rPr>
        <w:t>53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"_Toc117350422" </w:instrText>
      </w:r>
      <w:r>
        <w:fldChar w:fldCharType="separate"/>
      </w:r>
      <w:r>
        <w:rPr>
          <w:rStyle w:val="47"/>
          <w:bCs/>
        </w:rPr>
        <w:t>2.3  提供施工场地</w:t>
      </w:r>
      <w:r>
        <w:rPr>
          <w:bCs/>
        </w:rPr>
        <w:tab/>
      </w:r>
      <w:r>
        <w:rPr>
          <w:bCs/>
        </w:rPr>
        <w:fldChar w:fldCharType="begin"/>
      </w:r>
      <w:r>
        <w:rPr>
          <w:bCs/>
        </w:rPr>
        <w:instrText xml:space="preserve"> PAGEREF _Toc117350422 \h </w:instrText>
      </w:r>
      <w:r>
        <w:rPr>
          <w:bCs/>
        </w:rPr>
        <w:fldChar w:fldCharType="separate"/>
      </w:r>
      <w:r>
        <w:rPr>
          <w:bCs/>
        </w:rPr>
        <w:t>53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"_Toc117350423" </w:instrText>
      </w:r>
      <w:r>
        <w:fldChar w:fldCharType="separate"/>
      </w:r>
      <w:r>
        <w:rPr>
          <w:rStyle w:val="47"/>
          <w:bCs/>
        </w:rPr>
        <w:t>2.4  协助承包人办理证件和批件</w:t>
      </w:r>
      <w:r>
        <w:rPr>
          <w:bCs/>
        </w:rPr>
        <w:tab/>
      </w:r>
      <w:r>
        <w:rPr>
          <w:bCs/>
        </w:rPr>
        <w:fldChar w:fldCharType="begin"/>
      </w:r>
      <w:r>
        <w:rPr>
          <w:bCs/>
        </w:rPr>
        <w:instrText xml:space="preserve"> PAGEREF _Toc117350423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"_Toc117350424" </w:instrText>
      </w:r>
      <w:r>
        <w:fldChar w:fldCharType="separate"/>
      </w:r>
      <w:r>
        <w:rPr>
          <w:rStyle w:val="47"/>
          <w:bCs/>
        </w:rPr>
        <w:t>2.5  组织设计交底</w:t>
      </w:r>
      <w:r>
        <w:rPr>
          <w:bCs/>
        </w:rPr>
        <w:tab/>
      </w:r>
      <w:r>
        <w:rPr>
          <w:bCs/>
        </w:rPr>
        <w:fldChar w:fldCharType="begin"/>
      </w:r>
      <w:r>
        <w:rPr>
          <w:bCs/>
        </w:rPr>
        <w:instrText xml:space="preserve"> PAGEREF _Toc117350424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"_Toc117350425" </w:instrText>
      </w:r>
      <w:r>
        <w:fldChar w:fldCharType="separate"/>
      </w:r>
      <w:r>
        <w:rPr>
          <w:rStyle w:val="47"/>
          <w:bCs/>
        </w:rPr>
        <w:t>2.6  支付合同价款</w:t>
      </w:r>
      <w:r>
        <w:rPr>
          <w:bCs/>
        </w:rPr>
        <w:tab/>
      </w:r>
      <w:r>
        <w:rPr>
          <w:bCs/>
        </w:rPr>
        <w:fldChar w:fldCharType="begin"/>
      </w:r>
      <w:r>
        <w:rPr>
          <w:bCs/>
        </w:rPr>
        <w:instrText xml:space="preserve"> PAGEREF _Toc117350425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"_Toc117350426" </w:instrText>
      </w:r>
      <w:r>
        <w:fldChar w:fldCharType="separate"/>
      </w:r>
      <w:r>
        <w:rPr>
          <w:rStyle w:val="47"/>
          <w:bCs/>
        </w:rPr>
        <w:t>2.7  组织竣工验收</w:t>
      </w:r>
      <w:r>
        <w:rPr>
          <w:bCs/>
        </w:rPr>
        <w:tab/>
      </w:r>
      <w:r>
        <w:rPr>
          <w:bCs/>
        </w:rPr>
        <w:fldChar w:fldCharType="begin"/>
      </w:r>
      <w:r>
        <w:rPr>
          <w:bCs/>
        </w:rPr>
        <w:instrText xml:space="preserve"> PAGEREF _Toc117350426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"_Toc117350427" </w:instrText>
      </w:r>
      <w:r>
        <w:fldChar w:fldCharType="separate"/>
      </w:r>
      <w:r>
        <w:rPr>
          <w:rStyle w:val="47"/>
          <w:bCs/>
        </w:rPr>
        <w:t>2.8  向承包人提交支付担保</w:t>
      </w:r>
      <w:r>
        <w:rPr>
          <w:bCs/>
        </w:rPr>
        <w:tab/>
      </w:r>
      <w:r>
        <w:rPr>
          <w:bCs/>
        </w:rPr>
        <w:fldChar w:fldCharType="begin"/>
      </w:r>
      <w:r>
        <w:rPr>
          <w:bCs/>
        </w:rPr>
        <w:instrText xml:space="preserve"> PAGEREF _Toc117350427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"_Toc117350428" </w:instrText>
      </w:r>
      <w:r>
        <w:fldChar w:fldCharType="separate"/>
      </w:r>
      <w:r>
        <w:rPr>
          <w:rStyle w:val="47"/>
          <w:bCs/>
        </w:rPr>
        <w:t>2.9  办理工程质量监督手续</w:t>
      </w:r>
      <w:r>
        <w:rPr>
          <w:bCs/>
        </w:rPr>
        <w:tab/>
      </w:r>
      <w:r>
        <w:rPr>
          <w:bCs/>
        </w:rPr>
        <w:fldChar w:fldCharType="begin"/>
      </w:r>
      <w:r>
        <w:rPr>
          <w:bCs/>
        </w:rPr>
        <w:instrText xml:space="preserve"> PAGEREF _Toc117350428 \h </w:instrText>
      </w:r>
      <w:r>
        <w:rPr>
          <w:bCs/>
        </w:rPr>
        <w:fldChar w:fldCharType="separate"/>
      </w:r>
      <w:r>
        <w:rPr>
          <w:bCs/>
        </w:rPr>
        <w:t>54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"_Toc117350429" </w:instrText>
      </w:r>
      <w:r>
        <w:fldChar w:fldCharType="separate"/>
      </w:r>
      <w:r>
        <w:rPr>
          <w:rStyle w:val="47"/>
          <w:bCs/>
        </w:rPr>
        <w:t>2.10  环境保护责任</w:t>
      </w:r>
      <w:r>
        <w:rPr>
          <w:bCs/>
        </w:rPr>
        <w:tab/>
      </w:r>
      <w:r>
        <w:rPr>
          <w:bCs/>
        </w:rPr>
        <w:fldChar w:fldCharType="begin"/>
      </w:r>
      <w:r>
        <w:rPr>
          <w:bCs/>
        </w:rPr>
        <w:instrText xml:space="preserve"> PAGEREF _Toc117350429 \h </w:instrText>
      </w:r>
      <w:r>
        <w:rPr>
          <w:bCs/>
        </w:rPr>
        <w:fldChar w:fldCharType="separate"/>
      </w:r>
      <w:r>
        <w:rPr>
          <w:bCs/>
        </w:rPr>
        <w:t>55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"_Toc117350430" </w:instrText>
      </w:r>
      <w:r>
        <w:fldChar w:fldCharType="separate"/>
      </w:r>
      <w:r>
        <w:rPr>
          <w:rStyle w:val="47"/>
          <w:bCs/>
        </w:rPr>
        <w:t>2.11  移交工程档案</w:t>
      </w:r>
      <w:r>
        <w:rPr>
          <w:bCs/>
        </w:rPr>
        <w:tab/>
      </w:r>
      <w:r>
        <w:rPr>
          <w:bCs/>
        </w:rPr>
        <w:fldChar w:fldCharType="begin"/>
      </w:r>
      <w:r>
        <w:rPr>
          <w:bCs/>
        </w:rPr>
        <w:instrText xml:space="preserve"> PAGEREF _Toc117350430 \h </w:instrText>
      </w:r>
      <w:r>
        <w:rPr>
          <w:bCs/>
        </w:rPr>
        <w:fldChar w:fldCharType="separate"/>
      </w:r>
      <w:r>
        <w:rPr>
          <w:bCs/>
        </w:rPr>
        <w:t>55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"_Toc117350431" </w:instrText>
      </w:r>
      <w:r>
        <w:fldChar w:fldCharType="separate"/>
      </w:r>
      <w:r>
        <w:rPr>
          <w:rStyle w:val="47"/>
          <w:bCs/>
        </w:rPr>
        <w:t>2.12  批准和确认</w:t>
      </w:r>
      <w:r>
        <w:rPr>
          <w:bCs/>
        </w:rPr>
        <w:tab/>
      </w:r>
      <w:r>
        <w:rPr>
          <w:bCs/>
        </w:rPr>
        <w:fldChar w:fldCharType="begin"/>
      </w:r>
      <w:r>
        <w:rPr>
          <w:bCs/>
        </w:rPr>
        <w:instrText xml:space="preserve"> PAGEREF _Toc117350431 \h </w:instrText>
      </w:r>
      <w:r>
        <w:rPr>
          <w:bCs/>
        </w:rPr>
        <w:fldChar w:fldCharType="separate"/>
      </w:r>
      <w:r>
        <w:rPr>
          <w:bCs/>
        </w:rPr>
        <w:t>55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"_Toc117350432" </w:instrText>
      </w:r>
      <w:r>
        <w:fldChar w:fldCharType="separate"/>
      </w:r>
      <w:r>
        <w:rPr>
          <w:rStyle w:val="47"/>
          <w:bCs/>
        </w:rPr>
        <w:t>2.13  其他义务</w:t>
      </w:r>
      <w:r>
        <w:rPr>
          <w:bCs/>
        </w:rPr>
        <w:tab/>
      </w:r>
      <w:r>
        <w:rPr>
          <w:bCs/>
        </w:rPr>
        <w:fldChar w:fldCharType="begin"/>
      </w:r>
      <w:r>
        <w:rPr>
          <w:bCs/>
        </w:rPr>
        <w:instrText xml:space="preserve"> PAGEREF _Toc117350432 \h </w:instrText>
      </w:r>
      <w:r>
        <w:rPr>
          <w:bCs/>
        </w:rPr>
        <w:fldChar w:fldCharType="separate"/>
      </w:r>
      <w:r>
        <w:rPr>
          <w:bCs/>
        </w:rPr>
        <w:t>55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"_Toc117350433" </w:instrText>
      </w:r>
      <w:r>
        <w:fldChar w:fldCharType="separate"/>
      </w:r>
      <w:r>
        <w:rPr>
          <w:rStyle w:val="47"/>
          <w:b w:val="0"/>
        </w:rPr>
        <w:t>3.监理人</w:t>
      </w:r>
      <w:r>
        <w:rPr>
          <w:b w:val="0"/>
        </w:rPr>
        <w:tab/>
      </w:r>
      <w:r>
        <w:rPr>
          <w:b w:val="0"/>
        </w:rPr>
        <w:fldChar w:fldCharType="begin"/>
      </w:r>
      <w:r>
        <w:rPr>
          <w:b w:val="0"/>
        </w:rPr>
        <w:instrText xml:space="preserve"> PAGEREF _Toc117350433 \h </w:instrText>
      </w:r>
      <w:r>
        <w:rPr>
          <w:b w:val="0"/>
        </w:rPr>
        <w:fldChar w:fldCharType="separate"/>
      </w:r>
      <w:r>
        <w:rPr>
          <w:b w:val="0"/>
        </w:rPr>
        <w:t>55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"_Toc117350434" </w:instrText>
      </w:r>
      <w:r>
        <w:fldChar w:fldCharType="separate"/>
      </w:r>
      <w:r>
        <w:rPr>
          <w:rStyle w:val="47"/>
          <w:bCs/>
        </w:rPr>
        <w:t>3.1  监理人的职责和权力</w:t>
      </w:r>
      <w:r>
        <w:rPr>
          <w:bCs/>
        </w:rPr>
        <w:tab/>
      </w:r>
      <w:r>
        <w:rPr>
          <w:bCs/>
        </w:rPr>
        <w:fldChar w:fldCharType="begin"/>
      </w:r>
      <w:r>
        <w:rPr>
          <w:bCs/>
        </w:rPr>
        <w:instrText xml:space="preserve"> PAGEREF _Toc117350434 \h </w:instrText>
      </w:r>
      <w:r>
        <w:rPr>
          <w:bCs/>
        </w:rPr>
        <w:fldChar w:fldCharType="separate"/>
      </w:r>
      <w:r>
        <w:rPr>
          <w:bCs/>
        </w:rPr>
        <w:t>55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"_Toc117350435" </w:instrText>
      </w:r>
      <w:r>
        <w:fldChar w:fldCharType="separate"/>
      </w:r>
      <w:r>
        <w:rPr>
          <w:rStyle w:val="47"/>
          <w:bCs/>
        </w:rPr>
        <w:t>3.2  总监理工程师</w:t>
      </w:r>
      <w:r>
        <w:rPr>
          <w:bCs/>
        </w:rPr>
        <w:tab/>
      </w:r>
      <w:r>
        <w:rPr>
          <w:bCs/>
        </w:rPr>
        <w:fldChar w:fldCharType="begin"/>
      </w:r>
      <w:r>
        <w:rPr>
          <w:bCs/>
        </w:rPr>
        <w:instrText xml:space="preserve"> PAGEREF _Toc117350435 \h </w:instrText>
      </w:r>
      <w:r>
        <w:rPr>
          <w:bCs/>
        </w:rPr>
        <w:fldChar w:fldCharType="separate"/>
      </w:r>
      <w:r>
        <w:rPr>
          <w:bCs/>
        </w:rPr>
        <w:t>55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"_Toc117350436" </w:instrText>
      </w:r>
      <w:r>
        <w:fldChar w:fldCharType="separate"/>
      </w:r>
      <w:r>
        <w:rPr>
          <w:rStyle w:val="47"/>
          <w:bCs/>
        </w:rPr>
        <w:t>3.3  监理人员</w:t>
      </w:r>
      <w:r>
        <w:rPr>
          <w:bCs/>
        </w:rPr>
        <w:tab/>
      </w:r>
      <w:r>
        <w:rPr>
          <w:bCs/>
        </w:rPr>
        <w:fldChar w:fldCharType="begin"/>
      </w:r>
      <w:r>
        <w:rPr>
          <w:bCs/>
        </w:rPr>
        <w:instrText xml:space="preserve"> PAGEREF _Toc117350436 \h </w:instrText>
      </w:r>
      <w:r>
        <w:rPr>
          <w:bCs/>
        </w:rPr>
        <w:fldChar w:fldCharType="separate"/>
      </w:r>
      <w:r>
        <w:rPr>
          <w:bCs/>
        </w:rPr>
        <w:t>56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"_Toc117350437" </w:instrText>
      </w:r>
      <w:r>
        <w:fldChar w:fldCharType="separate"/>
      </w:r>
      <w:r>
        <w:rPr>
          <w:rStyle w:val="47"/>
          <w:bCs/>
        </w:rPr>
        <w:t>3.4  监理人的指示</w:t>
      </w:r>
      <w:r>
        <w:rPr>
          <w:bCs/>
        </w:rPr>
        <w:tab/>
      </w:r>
      <w:r>
        <w:rPr>
          <w:bCs/>
        </w:rPr>
        <w:fldChar w:fldCharType="begin"/>
      </w:r>
      <w:r>
        <w:rPr>
          <w:bCs/>
        </w:rPr>
        <w:instrText xml:space="preserve"> PAGEREF _Toc117350437 \h </w:instrText>
      </w:r>
      <w:r>
        <w:rPr>
          <w:bCs/>
        </w:rPr>
        <w:fldChar w:fldCharType="separate"/>
      </w:r>
      <w:r>
        <w:rPr>
          <w:bCs/>
        </w:rPr>
        <w:t>56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"_Toc117350438" </w:instrText>
      </w:r>
      <w:r>
        <w:fldChar w:fldCharType="separate"/>
      </w:r>
      <w:r>
        <w:rPr>
          <w:rStyle w:val="47"/>
          <w:bCs/>
        </w:rPr>
        <w:t>3.5  商定或确定</w:t>
      </w:r>
      <w:r>
        <w:rPr>
          <w:bCs/>
        </w:rPr>
        <w:tab/>
      </w:r>
      <w:r>
        <w:rPr>
          <w:bCs/>
        </w:rPr>
        <w:fldChar w:fldCharType="begin"/>
      </w:r>
      <w:r>
        <w:rPr>
          <w:bCs/>
        </w:rPr>
        <w:instrText xml:space="preserve"> PAGEREF _Toc117350438 \h </w:instrText>
      </w:r>
      <w:r>
        <w:rPr>
          <w:bCs/>
        </w:rPr>
        <w:fldChar w:fldCharType="separate"/>
      </w:r>
      <w:r>
        <w:rPr>
          <w:bCs/>
        </w:rPr>
        <w:t>56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"_Toc117350439" </w:instrText>
      </w:r>
      <w:r>
        <w:fldChar w:fldCharType="separate"/>
      </w:r>
      <w:r>
        <w:rPr>
          <w:rStyle w:val="47"/>
          <w:bCs/>
        </w:rPr>
        <w:t>3.6  监理人的宽恕</w:t>
      </w:r>
      <w:r>
        <w:rPr>
          <w:bCs/>
        </w:rPr>
        <w:tab/>
      </w:r>
      <w:r>
        <w:rPr>
          <w:bCs/>
        </w:rPr>
        <w:fldChar w:fldCharType="begin"/>
      </w:r>
      <w:r>
        <w:rPr>
          <w:bCs/>
        </w:rPr>
        <w:instrText xml:space="preserve"> PAGEREF _Toc117350439 \h </w:instrText>
      </w:r>
      <w:r>
        <w:rPr>
          <w:bCs/>
        </w:rPr>
        <w:fldChar w:fldCharType="separate"/>
      </w:r>
      <w:r>
        <w:rPr>
          <w:bCs/>
        </w:rPr>
        <w:t>57</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"_Toc117350440" </w:instrText>
      </w:r>
      <w:r>
        <w:fldChar w:fldCharType="separate"/>
      </w:r>
      <w:r>
        <w:rPr>
          <w:rStyle w:val="47"/>
          <w:b w:val="0"/>
        </w:rPr>
        <w:t>4.承包人</w:t>
      </w:r>
      <w:r>
        <w:rPr>
          <w:b w:val="0"/>
        </w:rPr>
        <w:tab/>
      </w:r>
      <w:r>
        <w:rPr>
          <w:b w:val="0"/>
        </w:rPr>
        <w:fldChar w:fldCharType="begin"/>
      </w:r>
      <w:r>
        <w:rPr>
          <w:b w:val="0"/>
        </w:rPr>
        <w:instrText xml:space="preserve"> PAGEREF _Toc117350440 \h </w:instrText>
      </w:r>
      <w:r>
        <w:rPr>
          <w:b w:val="0"/>
        </w:rPr>
        <w:fldChar w:fldCharType="separate"/>
      </w:r>
      <w:r>
        <w:rPr>
          <w:b w:val="0"/>
        </w:rPr>
        <w:t>57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"_Toc117350441" </w:instrText>
      </w:r>
      <w:r>
        <w:fldChar w:fldCharType="separate"/>
      </w:r>
      <w:r>
        <w:rPr>
          <w:rStyle w:val="47"/>
          <w:bCs/>
        </w:rPr>
        <w:t>4.1  承包人的一般义务</w:t>
      </w:r>
      <w:r>
        <w:rPr>
          <w:bCs/>
        </w:rPr>
        <w:tab/>
      </w:r>
      <w:r>
        <w:rPr>
          <w:bCs/>
        </w:rPr>
        <w:fldChar w:fldCharType="begin"/>
      </w:r>
      <w:r>
        <w:rPr>
          <w:bCs/>
        </w:rPr>
        <w:instrText xml:space="preserve"> PAGEREF _Toc117350441 \h </w:instrText>
      </w:r>
      <w:r>
        <w:rPr>
          <w:bCs/>
        </w:rPr>
        <w:fldChar w:fldCharType="separate"/>
      </w:r>
      <w:r>
        <w:rPr>
          <w:bCs/>
        </w:rPr>
        <w:t>57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"_Toc117350442" </w:instrText>
      </w:r>
      <w:r>
        <w:fldChar w:fldCharType="separate"/>
      </w:r>
      <w:r>
        <w:rPr>
          <w:rStyle w:val="47"/>
          <w:bCs/>
        </w:rPr>
        <w:t>4.2  履约担保</w:t>
      </w:r>
      <w:r>
        <w:rPr>
          <w:bCs/>
        </w:rPr>
        <w:tab/>
      </w:r>
      <w:r>
        <w:rPr>
          <w:bCs/>
        </w:rPr>
        <w:fldChar w:fldCharType="begin"/>
      </w:r>
      <w:r>
        <w:rPr>
          <w:bCs/>
        </w:rPr>
        <w:instrText xml:space="preserve"> PAGEREF _Toc117350442 \h </w:instrText>
      </w:r>
      <w:r>
        <w:rPr>
          <w:bCs/>
        </w:rPr>
        <w:fldChar w:fldCharType="separate"/>
      </w:r>
      <w:r>
        <w:rPr>
          <w:bCs/>
        </w:rPr>
        <w:t>59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"_Toc117350443" </w:instrText>
      </w:r>
      <w:r>
        <w:fldChar w:fldCharType="separate"/>
      </w:r>
      <w:r>
        <w:rPr>
          <w:rStyle w:val="47"/>
          <w:bCs/>
        </w:rPr>
        <w:t>4.3  分包</w:t>
      </w:r>
      <w:r>
        <w:rPr>
          <w:bCs/>
        </w:rPr>
        <w:tab/>
      </w:r>
      <w:r>
        <w:rPr>
          <w:bCs/>
        </w:rPr>
        <w:fldChar w:fldCharType="begin"/>
      </w:r>
      <w:r>
        <w:rPr>
          <w:bCs/>
        </w:rPr>
        <w:instrText xml:space="preserve"> PAGEREF _Toc117350443 \h </w:instrText>
      </w:r>
      <w:r>
        <w:rPr>
          <w:bCs/>
        </w:rPr>
        <w:fldChar w:fldCharType="separate"/>
      </w:r>
      <w:r>
        <w:rPr>
          <w:bCs/>
        </w:rPr>
        <w:t>59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"_Toc117350444" </w:instrText>
      </w:r>
      <w:r>
        <w:fldChar w:fldCharType="separate"/>
      </w:r>
      <w:r>
        <w:rPr>
          <w:rStyle w:val="47"/>
          <w:bCs/>
        </w:rPr>
        <w:t>4.4  联合体</w:t>
      </w:r>
      <w:r>
        <w:rPr>
          <w:bCs/>
        </w:rPr>
        <w:tab/>
      </w:r>
      <w:r>
        <w:rPr>
          <w:bCs/>
        </w:rPr>
        <w:fldChar w:fldCharType="begin"/>
      </w:r>
      <w:r>
        <w:rPr>
          <w:bCs/>
        </w:rPr>
        <w:instrText xml:space="preserve"> PAGEREF _Toc117350444 \h </w:instrText>
      </w:r>
      <w:r>
        <w:rPr>
          <w:bCs/>
        </w:rPr>
        <w:fldChar w:fldCharType="separate"/>
      </w:r>
      <w:r>
        <w:rPr>
          <w:bCs/>
        </w:rPr>
        <w:t>60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"_Toc117350445" </w:instrText>
      </w:r>
      <w:r>
        <w:fldChar w:fldCharType="separate"/>
      </w:r>
      <w:r>
        <w:rPr>
          <w:rStyle w:val="47"/>
          <w:bCs/>
        </w:rPr>
        <w:t>4.5  承包人项目经理</w:t>
      </w:r>
      <w:r>
        <w:rPr>
          <w:bCs/>
        </w:rPr>
        <w:tab/>
      </w:r>
      <w:r>
        <w:rPr>
          <w:bCs/>
        </w:rPr>
        <w:fldChar w:fldCharType="begin"/>
      </w:r>
      <w:r>
        <w:rPr>
          <w:bCs/>
        </w:rPr>
        <w:instrText xml:space="preserve"> PAGEREF _Toc117350445 \h </w:instrText>
      </w:r>
      <w:r>
        <w:rPr>
          <w:bCs/>
        </w:rPr>
        <w:fldChar w:fldCharType="separate"/>
      </w:r>
      <w:r>
        <w:rPr>
          <w:bCs/>
        </w:rPr>
        <w:t>60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"_Toc117350446" </w:instrText>
      </w:r>
      <w:r>
        <w:fldChar w:fldCharType="separate"/>
      </w:r>
      <w:r>
        <w:rPr>
          <w:rStyle w:val="47"/>
          <w:bCs/>
        </w:rPr>
        <w:t>4.6  承包人人员的管理</w:t>
      </w:r>
      <w:r>
        <w:rPr>
          <w:bCs/>
        </w:rPr>
        <w:tab/>
      </w:r>
      <w:r>
        <w:rPr>
          <w:bCs/>
        </w:rPr>
        <w:fldChar w:fldCharType="begin"/>
      </w:r>
      <w:r>
        <w:rPr>
          <w:bCs/>
        </w:rPr>
        <w:instrText xml:space="preserve"> PAGEREF _Toc117350446 \h </w:instrText>
      </w:r>
      <w:r>
        <w:rPr>
          <w:bCs/>
        </w:rPr>
        <w:fldChar w:fldCharType="separate"/>
      </w:r>
      <w:r>
        <w:rPr>
          <w:bCs/>
        </w:rPr>
        <w:t>61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"_Toc117350447" </w:instrText>
      </w:r>
      <w:r>
        <w:fldChar w:fldCharType="separate"/>
      </w:r>
      <w:r>
        <w:rPr>
          <w:rStyle w:val="47"/>
          <w:bCs/>
        </w:rPr>
        <w:t>4.7  撤换承包人项目经理和其他人员</w:t>
      </w:r>
      <w:r>
        <w:rPr>
          <w:bCs/>
        </w:rPr>
        <w:tab/>
      </w:r>
      <w:r>
        <w:rPr>
          <w:bCs/>
        </w:rPr>
        <w:fldChar w:fldCharType="begin"/>
      </w:r>
      <w:r>
        <w:rPr>
          <w:bCs/>
        </w:rPr>
        <w:instrText xml:space="preserve"> PAGEREF _Toc117350447 \h </w:instrText>
      </w:r>
      <w:r>
        <w:rPr>
          <w:bCs/>
        </w:rPr>
        <w:fldChar w:fldCharType="separate"/>
      </w:r>
      <w:r>
        <w:rPr>
          <w:bCs/>
        </w:rPr>
        <w:t>61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"_Toc117350448" </w:instrText>
      </w:r>
      <w:r>
        <w:fldChar w:fldCharType="separate"/>
      </w:r>
      <w:r>
        <w:rPr>
          <w:rStyle w:val="47"/>
          <w:bCs/>
        </w:rPr>
        <w:t>4.8  保障承包人人员的合法权益</w:t>
      </w:r>
      <w:r>
        <w:rPr>
          <w:bCs/>
        </w:rPr>
        <w:tab/>
      </w:r>
      <w:r>
        <w:rPr>
          <w:bCs/>
        </w:rPr>
        <w:fldChar w:fldCharType="begin"/>
      </w:r>
      <w:r>
        <w:rPr>
          <w:bCs/>
        </w:rPr>
        <w:instrText xml:space="preserve"> PAGEREF _Toc117350448 \h </w:instrText>
      </w:r>
      <w:r>
        <w:rPr>
          <w:bCs/>
        </w:rPr>
        <w:fldChar w:fldCharType="separate"/>
      </w:r>
      <w:r>
        <w:rPr>
          <w:bCs/>
        </w:rPr>
        <w:t>61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"_Toc117350449" </w:instrText>
      </w:r>
      <w:r>
        <w:fldChar w:fldCharType="separate"/>
      </w:r>
      <w:r>
        <w:rPr>
          <w:rStyle w:val="47"/>
          <w:bCs/>
        </w:rPr>
        <w:t>4.9  工程价款应专款专用</w:t>
      </w:r>
      <w:r>
        <w:rPr>
          <w:bCs/>
        </w:rPr>
        <w:tab/>
      </w:r>
      <w:r>
        <w:rPr>
          <w:bCs/>
        </w:rPr>
        <w:fldChar w:fldCharType="begin"/>
      </w:r>
      <w:r>
        <w:rPr>
          <w:bCs/>
        </w:rPr>
        <w:instrText xml:space="preserve"> PAGEREF _Toc117350449 \h </w:instrText>
      </w:r>
      <w:r>
        <w:rPr>
          <w:bCs/>
        </w:rPr>
        <w:fldChar w:fldCharType="separate"/>
      </w:r>
      <w:r>
        <w:rPr>
          <w:bCs/>
        </w:rPr>
        <w:t>62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"_Toc117350450" </w:instrText>
      </w:r>
      <w:r>
        <w:fldChar w:fldCharType="separate"/>
      </w:r>
      <w:r>
        <w:rPr>
          <w:rStyle w:val="47"/>
          <w:bCs/>
        </w:rPr>
        <w:t>4.10  承包人现场查勘</w:t>
      </w:r>
      <w:r>
        <w:rPr>
          <w:bCs/>
        </w:rPr>
        <w:tab/>
      </w:r>
      <w:r>
        <w:rPr>
          <w:bCs/>
        </w:rPr>
        <w:fldChar w:fldCharType="begin"/>
      </w:r>
      <w:r>
        <w:rPr>
          <w:bCs/>
        </w:rPr>
        <w:instrText xml:space="preserve"> PAGEREF _Toc117350450 \h </w:instrText>
      </w:r>
      <w:r>
        <w:rPr>
          <w:bCs/>
        </w:rPr>
        <w:fldChar w:fldCharType="separate"/>
      </w:r>
      <w:r>
        <w:rPr>
          <w:bCs/>
        </w:rPr>
        <w:t>62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"_Toc117350451" </w:instrText>
      </w:r>
      <w:r>
        <w:fldChar w:fldCharType="separate"/>
      </w:r>
      <w:r>
        <w:rPr>
          <w:rStyle w:val="47"/>
          <w:bCs/>
        </w:rPr>
        <w:t>4.11  不利物质条件</w:t>
      </w:r>
      <w:r>
        <w:rPr>
          <w:bCs/>
        </w:rPr>
        <w:tab/>
      </w:r>
      <w:r>
        <w:rPr>
          <w:bCs/>
        </w:rPr>
        <w:fldChar w:fldCharType="begin"/>
      </w:r>
      <w:r>
        <w:rPr>
          <w:bCs/>
        </w:rPr>
        <w:instrText xml:space="preserve"> PAGEREF _Toc117350451 \h </w:instrText>
      </w:r>
      <w:r>
        <w:rPr>
          <w:bCs/>
        </w:rPr>
        <w:fldChar w:fldCharType="separate"/>
      </w:r>
      <w:r>
        <w:rPr>
          <w:bCs/>
        </w:rPr>
        <w:t>62</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"_Toc117350452" </w:instrText>
      </w:r>
      <w:r>
        <w:fldChar w:fldCharType="separate"/>
      </w:r>
      <w:r>
        <w:rPr>
          <w:rStyle w:val="47"/>
          <w:b w:val="0"/>
        </w:rPr>
        <w:t>5.材料和工程设备</w:t>
      </w:r>
      <w:r>
        <w:rPr>
          <w:b w:val="0"/>
        </w:rPr>
        <w:tab/>
      </w:r>
      <w:r>
        <w:rPr>
          <w:b w:val="0"/>
        </w:rPr>
        <w:fldChar w:fldCharType="begin"/>
      </w:r>
      <w:r>
        <w:rPr>
          <w:b w:val="0"/>
        </w:rPr>
        <w:instrText xml:space="preserve"> PAGEREF _Toc117350452 \h </w:instrText>
      </w:r>
      <w:r>
        <w:rPr>
          <w:b w:val="0"/>
        </w:rPr>
        <w:fldChar w:fldCharType="separate"/>
      </w:r>
      <w:r>
        <w:rPr>
          <w:b w:val="0"/>
        </w:rPr>
        <w:t>62</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"_Toc117350453" </w:instrText>
      </w:r>
      <w:r>
        <w:fldChar w:fldCharType="separate"/>
      </w:r>
      <w:r>
        <w:rPr>
          <w:rStyle w:val="47"/>
          <w:bCs/>
        </w:rPr>
        <w:t>5.1  承包人提供的材料和工程设备</w:t>
      </w:r>
      <w:r>
        <w:rPr>
          <w:bCs/>
        </w:rPr>
        <w:tab/>
      </w:r>
      <w:r>
        <w:rPr>
          <w:bCs/>
        </w:rPr>
        <w:fldChar w:fldCharType="begin"/>
      </w:r>
      <w:r>
        <w:rPr>
          <w:bCs/>
        </w:rPr>
        <w:instrText xml:space="preserve"> PAGEREF _Toc117350453 \h </w:instrText>
      </w:r>
      <w:r>
        <w:rPr>
          <w:bCs/>
        </w:rPr>
        <w:fldChar w:fldCharType="separate"/>
      </w:r>
      <w:r>
        <w:rPr>
          <w:bCs/>
        </w:rPr>
        <w:t>62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"_Toc117350454" </w:instrText>
      </w:r>
      <w:r>
        <w:fldChar w:fldCharType="separate"/>
      </w:r>
      <w:r>
        <w:rPr>
          <w:rStyle w:val="47"/>
          <w:bCs/>
        </w:rPr>
        <w:t>5.2  发包人提供的材料和工程设备</w:t>
      </w:r>
      <w:r>
        <w:rPr>
          <w:bCs/>
        </w:rPr>
        <w:tab/>
      </w:r>
      <w:r>
        <w:rPr>
          <w:bCs/>
        </w:rPr>
        <w:fldChar w:fldCharType="begin"/>
      </w:r>
      <w:r>
        <w:rPr>
          <w:bCs/>
        </w:rPr>
        <w:instrText xml:space="preserve"> PAGEREF _Toc117350454 \h </w:instrText>
      </w:r>
      <w:r>
        <w:rPr>
          <w:bCs/>
        </w:rPr>
        <w:fldChar w:fldCharType="separate"/>
      </w:r>
      <w:r>
        <w:rPr>
          <w:bCs/>
        </w:rPr>
        <w:t>63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"_Toc117350455" </w:instrText>
      </w:r>
      <w:r>
        <w:fldChar w:fldCharType="separate"/>
      </w:r>
      <w:r>
        <w:rPr>
          <w:rStyle w:val="47"/>
          <w:bCs/>
        </w:rPr>
        <w:t>5.3  材料和工程设备专用于合同工程</w:t>
      </w:r>
      <w:r>
        <w:rPr>
          <w:bCs/>
        </w:rPr>
        <w:tab/>
      </w:r>
      <w:r>
        <w:rPr>
          <w:bCs/>
        </w:rPr>
        <w:fldChar w:fldCharType="begin"/>
      </w:r>
      <w:r>
        <w:rPr>
          <w:bCs/>
        </w:rPr>
        <w:instrText xml:space="preserve"> PAGEREF _Toc117350455 \h </w:instrText>
      </w:r>
      <w:r>
        <w:rPr>
          <w:bCs/>
        </w:rPr>
        <w:fldChar w:fldCharType="separate"/>
      </w:r>
      <w:r>
        <w:rPr>
          <w:bCs/>
        </w:rPr>
        <w:t>63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"_Toc117350456" </w:instrText>
      </w:r>
      <w:r>
        <w:fldChar w:fldCharType="separate"/>
      </w:r>
      <w:r>
        <w:rPr>
          <w:rStyle w:val="47"/>
          <w:bCs/>
        </w:rPr>
        <w:t>5.4  禁止使用不合格的材料和工程设备</w:t>
      </w:r>
      <w:r>
        <w:rPr>
          <w:bCs/>
        </w:rPr>
        <w:tab/>
      </w:r>
      <w:r>
        <w:rPr>
          <w:bCs/>
        </w:rPr>
        <w:fldChar w:fldCharType="begin"/>
      </w:r>
      <w:r>
        <w:rPr>
          <w:bCs/>
        </w:rPr>
        <w:instrText xml:space="preserve"> PAGEREF _Toc117350456 \h </w:instrText>
      </w:r>
      <w:r>
        <w:rPr>
          <w:bCs/>
        </w:rPr>
        <w:fldChar w:fldCharType="separate"/>
      </w:r>
      <w:r>
        <w:rPr>
          <w:bCs/>
        </w:rPr>
        <w:t>64</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"_Toc117350457" </w:instrText>
      </w:r>
      <w:r>
        <w:fldChar w:fldCharType="separate"/>
      </w:r>
      <w:r>
        <w:rPr>
          <w:rStyle w:val="47"/>
          <w:b w:val="0"/>
        </w:rPr>
        <w:t>6.施工设备和临时设施</w:t>
      </w:r>
      <w:r>
        <w:rPr>
          <w:b w:val="0"/>
        </w:rPr>
        <w:tab/>
      </w:r>
      <w:r>
        <w:rPr>
          <w:b w:val="0"/>
        </w:rPr>
        <w:fldChar w:fldCharType="begin"/>
      </w:r>
      <w:r>
        <w:rPr>
          <w:b w:val="0"/>
        </w:rPr>
        <w:instrText xml:space="preserve"> PAGEREF _Toc117350457 \h </w:instrText>
      </w:r>
      <w:r>
        <w:rPr>
          <w:b w:val="0"/>
        </w:rPr>
        <w:fldChar w:fldCharType="separate"/>
      </w:r>
      <w:r>
        <w:rPr>
          <w:b w:val="0"/>
        </w:rPr>
        <w:t>64</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"_Toc117350458" </w:instrText>
      </w:r>
      <w:r>
        <w:fldChar w:fldCharType="separate"/>
      </w:r>
      <w:r>
        <w:rPr>
          <w:rStyle w:val="47"/>
          <w:bCs/>
        </w:rPr>
        <w:t>6.1  承包人提供的施工设备和临时设施</w:t>
      </w:r>
      <w:r>
        <w:rPr>
          <w:bCs/>
        </w:rPr>
        <w:tab/>
      </w:r>
      <w:r>
        <w:rPr>
          <w:bCs/>
        </w:rPr>
        <w:fldChar w:fldCharType="begin"/>
      </w:r>
      <w:r>
        <w:rPr>
          <w:bCs/>
        </w:rPr>
        <w:instrText xml:space="preserve"> PAGEREF _Toc117350458 \h </w:instrText>
      </w:r>
      <w:r>
        <w:rPr>
          <w:bCs/>
        </w:rPr>
        <w:fldChar w:fldCharType="separate"/>
      </w:r>
      <w:r>
        <w:rPr>
          <w:bCs/>
        </w:rPr>
        <w:t>64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"_Toc117350459" </w:instrText>
      </w:r>
      <w:r>
        <w:fldChar w:fldCharType="separate"/>
      </w:r>
      <w:r>
        <w:rPr>
          <w:rStyle w:val="47"/>
          <w:bCs/>
        </w:rPr>
        <w:t>6.2  发包人提供的施工设备和临时设施</w:t>
      </w:r>
      <w:r>
        <w:rPr>
          <w:bCs/>
        </w:rPr>
        <w:tab/>
      </w:r>
      <w:r>
        <w:rPr>
          <w:bCs/>
        </w:rPr>
        <w:fldChar w:fldCharType="begin"/>
      </w:r>
      <w:r>
        <w:rPr>
          <w:bCs/>
        </w:rPr>
        <w:instrText xml:space="preserve"> PAGEREF _Toc117350459 \h </w:instrText>
      </w:r>
      <w:r>
        <w:rPr>
          <w:bCs/>
        </w:rPr>
        <w:fldChar w:fldCharType="separate"/>
      </w:r>
      <w:r>
        <w:rPr>
          <w:bCs/>
        </w:rPr>
        <w:t>64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"_Toc117350460" </w:instrText>
      </w:r>
      <w:r>
        <w:fldChar w:fldCharType="separate"/>
      </w:r>
      <w:r>
        <w:rPr>
          <w:rStyle w:val="47"/>
          <w:bCs/>
        </w:rPr>
        <w:t>6.3  要求承包人增加或更换施工设备</w:t>
      </w:r>
      <w:r>
        <w:rPr>
          <w:bCs/>
        </w:rPr>
        <w:tab/>
      </w:r>
      <w:r>
        <w:rPr>
          <w:bCs/>
        </w:rPr>
        <w:fldChar w:fldCharType="begin"/>
      </w:r>
      <w:r>
        <w:rPr>
          <w:bCs/>
        </w:rPr>
        <w:instrText xml:space="preserve"> PAGEREF _Toc117350460 \h </w:instrText>
      </w:r>
      <w:r>
        <w:rPr>
          <w:bCs/>
        </w:rPr>
        <w:fldChar w:fldCharType="separate"/>
      </w:r>
      <w:r>
        <w:rPr>
          <w:bCs/>
        </w:rPr>
        <w:t>64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"_Toc117350461" </w:instrText>
      </w:r>
      <w:r>
        <w:fldChar w:fldCharType="separate"/>
      </w:r>
      <w:r>
        <w:rPr>
          <w:rStyle w:val="47"/>
          <w:bCs/>
        </w:rPr>
        <w:t>6.4  施工设备和临时设施专用于合同工程</w:t>
      </w:r>
      <w:r>
        <w:rPr>
          <w:bCs/>
        </w:rPr>
        <w:tab/>
      </w:r>
      <w:r>
        <w:rPr>
          <w:bCs/>
        </w:rPr>
        <w:fldChar w:fldCharType="begin"/>
      </w:r>
      <w:r>
        <w:rPr>
          <w:bCs/>
        </w:rPr>
        <w:instrText xml:space="preserve"> PAGEREF _Toc117350461 \h </w:instrText>
      </w:r>
      <w:r>
        <w:rPr>
          <w:bCs/>
        </w:rPr>
        <w:fldChar w:fldCharType="separate"/>
      </w:r>
      <w:r>
        <w:rPr>
          <w:bCs/>
        </w:rPr>
        <w:t>64</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"_Toc117350462" </w:instrText>
      </w:r>
      <w:r>
        <w:fldChar w:fldCharType="separate"/>
      </w:r>
      <w:r>
        <w:rPr>
          <w:rStyle w:val="47"/>
          <w:b w:val="0"/>
        </w:rPr>
        <w:t>7.交通运输</w:t>
      </w:r>
      <w:r>
        <w:rPr>
          <w:b w:val="0"/>
        </w:rPr>
        <w:tab/>
      </w:r>
      <w:r>
        <w:rPr>
          <w:b w:val="0"/>
        </w:rPr>
        <w:fldChar w:fldCharType="begin"/>
      </w:r>
      <w:r>
        <w:rPr>
          <w:b w:val="0"/>
        </w:rPr>
        <w:instrText xml:space="preserve"> PAGEREF _Toc117350462 \h </w:instrText>
      </w:r>
      <w:r>
        <w:rPr>
          <w:b w:val="0"/>
        </w:rPr>
        <w:fldChar w:fldCharType="separate"/>
      </w:r>
      <w:r>
        <w:rPr>
          <w:b w:val="0"/>
        </w:rPr>
        <w:t>65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"_Toc117350463" </w:instrText>
      </w:r>
      <w:r>
        <w:fldChar w:fldCharType="separate"/>
      </w:r>
      <w:r>
        <w:rPr>
          <w:rStyle w:val="47"/>
          <w:bCs/>
        </w:rPr>
        <w:t>7.1  道路通行权和场外设施</w:t>
      </w:r>
      <w:r>
        <w:rPr>
          <w:bCs/>
        </w:rPr>
        <w:tab/>
      </w:r>
      <w:r>
        <w:rPr>
          <w:bCs/>
        </w:rPr>
        <w:fldChar w:fldCharType="begin"/>
      </w:r>
      <w:r>
        <w:rPr>
          <w:bCs/>
        </w:rPr>
        <w:instrText xml:space="preserve"> PAGEREF _Toc117350463 \h </w:instrText>
      </w:r>
      <w:r>
        <w:rPr>
          <w:bCs/>
        </w:rPr>
        <w:fldChar w:fldCharType="separate"/>
      </w:r>
      <w:r>
        <w:rPr>
          <w:bCs/>
        </w:rPr>
        <w:t>65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"_Toc117350464" </w:instrText>
      </w:r>
      <w:r>
        <w:fldChar w:fldCharType="separate"/>
      </w:r>
      <w:r>
        <w:rPr>
          <w:rStyle w:val="47"/>
          <w:bCs/>
        </w:rPr>
        <w:t>7.2  场内施工道路</w:t>
      </w:r>
      <w:r>
        <w:rPr>
          <w:bCs/>
        </w:rPr>
        <w:tab/>
      </w:r>
      <w:r>
        <w:rPr>
          <w:bCs/>
        </w:rPr>
        <w:fldChar w:fldCharType="begin"/>
      </w:r>
      <w:r>
        <w:rPr>
          <w:bCs/>
        </w:rPr>
        <w:instrText xml:space="preserve"> PAGEREF _Toc117350464 \h </w:instrText>
      </w:r>
      <w:r>
        <w:rPr>
          <w:bCs/>
        </w:rPr>
        <w:fldChar w:fldCharType="separate"/>
      </w:r>
      <w:r>
        <w:rPr>
          <w:bCs/>
        </w:rPr>
        <w:t>65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"_Toc117350465" </w:instrText>
      </w:r>
      <w:r>
        <w:fldChar w:fldCharType="separate"/>
      </w:r>
      <w:r>
        <w:rPr>
          <w:rStyle w:val="47"/>
          <w:bCs/>
        </w:rPr>
        <w:t>7.3  场外交通</w:t>
      </w:r>
      <w:r>
        <w:rPr>
          <w:bCs/>
        </w:rPr>
        <w:tab/>
      </w:r>
      <w:r>
        <w:rPr>
          <w:bCs/>
        </w:rPr>
        <w:fldChar w:fldCharType="begin"/>
      </w:r>
      <w:r>
        <w:rPr>
          <w:bCs/>
        </w:rPr>
        <w:instrText xml:space="preserve"> PAGEREF _Toc117350465 \h </w:instrText>
      </w:r>
      <w:r>
        <w:rPr>
          <w:bCs/>
        </w:rPr>
        <w:fldChar w:fldCharType="separate"/>
      </w:r>
      <w:r>
        <w:rPr>
          <w:bCs/>
        </w:rPr>
        <w:t>65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"_Toc117350466" </w:instrText>
      </w:r>
      <w:r>
        <w:fldChar w:fldCharType="separate"/>
      </w:r>
      <w:r>
        <w:rPr>
          <w:rStyle w:val="47"/>
          <w:bCs/>
        </w:rPr>
        <w:t>7.4  超大件和超重件的运输</w:t>
      </w:r>
      <w:r>
        <w:rPr>
          <w:bCs/>
        </w:rPr>
        <w:tab/>
      </w:r>
      <w:r>
        <w:rPr>
          <w:bCs/>
        </w:rPr>
        <w:fldChar w:fldCharType="begin"/>
      </w:r>
      <w:r>
        <w:rPr>
          <w:bCs/>
        </w:rPr>
        <w:instrText xml:space="preserve"> PAGEREF _Toc117350466 \h </w:instrText>
      </w:r>
      <w:r>
        <w:rPr>
          <w:bCs/>
        </w:rPr>
        <w:fldChar w:fldCharType="separate"/>
      </w:r>
      <w:r>
        <w:rPr>
          <w:bCs/>
        </w:rPr>
        <w:t>65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"_Toc117350467" </w:instrText>
      </w:r>
      <w:r>
        <w:fldChar w:fldCharType="separate"/>
      </w:r>
      <w:r>
        <w:rPr>
          <w:rStyle w:val="47"/>
          <w:bCs/>
        </w:rPr>
        <w:t>7.5  道路和桥梁的损坏责任</w:t>
      </w:r>
      <w:r>
        <w:rPr>
          <w:bCs/>
        </w:rPr>
        <w:tab/>
      </w:r>
      <w:r>
        <w:rPr>
          <w:bCs/>
        </w:rPr>
        <w:fldChar w:fldCharType="begin"/>
      </w:r>
      <w:r>
        <w:rPr>
          <w:bCs/>
        </w:rPr>
        <w:instrText xml:space="preserve"> PAGEREF _Toc117350467 \h </w:instrText>
      </w:r>
      <w:r>
        <w:rPr>
          <w:bCs/>
        </w:rPr>
        <w:fldChar w:fldCharType="separate"/>
      </w:r>
      <w:r>
        <w:rPr>
          <w:bCs/>
        </w:rPr>
        <w:t>65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"_Toc117350468" </w:instrText>
      </w:r>
      <w:r>
        <w:fldChar w:fldCharType="separate"/>
      </w:r>
      <w:r>
        <w:rPr>
          <w:rStyle w:val="47"/>
          <w:bCs/>
        </w:rPr>
        <w:t>7.6  水路和航空运输</w:t>
      </w:r>
      <w:r>
        <w:rPr>
          <w:bCs/>
        </w:rPr>
        <w:tab/>
      </w:r>
      <w:r>
        <w:rPr>
          <w:bCs/>
        </w:rPr>
        <w:fldChar w:fldCharType="begin"/>
      </w:r>
      <w:r>
        <w:rPr>
          <w:bCs/>
        </w:rPr>
        <w:instrText xml:space="preserve"> PAGEREF _Toc117350468 \h </w:instrText>
      </w:r>
      <w:r>
        <w:rPr>
          <w:bCs/>
        </w:rPr>
        <w:fldChar w:fldCharType="separate"/>
      </w:r>
      <w:r>
        <w:rPr>
          <w:bCs/>
        </w:rPr>
        <w:t>65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"_Toc117350469" </w:instrText>
      </w:r>
      <w:r>
        <w:fldChar w:fldCharType="separate"/>
      </w:r>
      <w:r>
        <w:rPr>
          <w:rStyle w:val="47"/>
          <w:b w:val="0"/>
        </w:rPr>
        <w:t>8.测量放线</w:t>
      </w:r>
      <w:r>
        <w:rPr>
          <w:b w:val="0"/>
        </w:rPr>
        <w:tab/>
      </w:r>
      <w:r>
        <w:rPr>
          <w:b w:val="0"/>
        </w:rPr>
        <w:fldChar w:fldCharType="begin"/>
      </w:r>
      <w:r>
        <w:rPr>
          <w:b w:val="0"/>
        </w:rPr>
        <w:instrText xml:space="preserve"> PAGEREF _Toc117350469 \h </w:instrText>
      </w:r>
      <w:r>
        <w:rPr>
          <w:b w:val="0"/>
        </w:rPr>
        <w:fldChar w:fldCharType="separate"/>
      </w:r>
      <w:r>
        <w:rPr>
          <w:b w:val="0"/>
        </w:rPr>
        <w:t>66</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"_Toc117350470" </w:instrText>
      </w:r>
      <w:r>
        <w:fldChar w:fldCharType="separate"/>
      </w:r>
      <w:r>
        <w:rPr>
          <w:rStyle w:val="47"/>
          <w:bCs/>
        </w:rPr>
        <w:t>8.1  施工控制网</w:t>
      </w:r>
      <w:r>
        <w:rPr>
          <w:bCs/>
        </w:rPr>
        <w:tab/>
      </w:r>
      <w:r>
        <w:rPr>
          <w:bCs/>
        </w:rPr>
        <w:fldChar w:fldCharType="begin"/>
      </w:r>
      <w:r>
        <w:rPr>
          <w:bCs/>
        </w:rPr>
        <w:instrText xml:space="preserve"> PAGEREF _Toc117350470 \h </w:instrText>
      </w:r>
      <w:r>
        <w:rPr>
          <w:bCs/>
        </w:rPr>
        <w:fldChar w:fldCharType="separate"/>
      </w:r>
      <w:r>
        <w:rPr>
          <w:bCs/>
        </w:rPr>
        <w:t>66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"_Toc117350471" </w:instrText>
      </w:r>
      <w:r>
        <w:fldChar w:fldCharType="separate"/>
      </w:r>
      <w:r>
        <w:rPr>
          <w:rStyle w:val="47"/>
          <w:bCs/>
        </w:rPr>
        <w:t>8.2  施工测量</w:t>
      </w:r>
      <w:r>
        <w:rPr>
          <w:bCs/>
        </w:rPr>
        <w:tab/>
      </w:r>
      <w:r>
        <w:rPr>
          <w:bCs/>
        </w:rPr>
        <w:fldChar w:fldCharType="begin"/>
      </w:r>
      <w:r>
        <w:rPr>
          <w:bCs/>
        </w:rPr>
        <w:instrText xml:space="preserve"> PAGEREF _Toc117350471 \h </w:instrText>
      </w:r>
      <w:r>
        <w:rPr>
          <w:bCs/>
        </w:rPr>
        <w:fldChar w:fldCharType="separate"/>
      </w:r>
      <w:r>
        <w:rPr>
          <w:bCs/>
        </w:rPr>
        <w:t>66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"_Toc117350472" </w:instrText>
      </w:r>
      <w:r>
        <w:fldChar w:fldCharType="separate"/>
      </w:r>
      <w:r>
        <w:rPr>
          <w:rStyle w:val="47"/>
          <w:bCs/>
        </w:rPr>
        <w:t>8.3  基准资料错误的责任</w:t>
      </w:r>
      <w:r>
        <w:rPr>
          <w:bCs/>
        </w:rPr>
        <w:tab/>
      </w:r>
      <w:r>
        <w:rPr>
          <w:bCs/>
        </w:rPr>
        <w:fldChar w:fldCharType="begin"/>
      </w:r>
      <w:r>
        <w:rPr>
          <w:bCs/>
        </w:rPr>
        <w:instrText xml:space="preserve"> PAGEREF _Toc117350472 \h </w:instrText>
      </w:r>
      <w:r>
        <w:rPr>
          <w:bCs/>
        </w:rPr>
        <w:fldChar w:fldCharType="separate"/>
      </w:r>
      <w:r>
        <w:rPr>
          <w:bCs/>
        </w:rPr>
        <w:t>66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"_Toc117350473" </w:instrText>
      </w:r>
      <w:r>
        <w:fldChar w:fldCharType="separate"/>
      </w:r>
      <w:r>
        <w:rPr>
          <w:rStyle w:val="47"/>
          <w:bCs/>
        </w:rPr>
        <w:t>8.4  监理人使用施工控制网</w:t>
      </w:r>
      <w:r>
        <w:rPr>
          <w:bCs/>
        </w:rPr>
        <w:tab/>
      </w:r>
      <w:r>
        <w:rPr>
          <w:bCs/>
        </w:rPr>
        <w:fldChar w:fldCharType="begin"/>
      </w:r>
      <w:r>
        <w:rPr>
          <w:bCs/>
        </w:rPr>
        <w:instrText xml:space="preserve"> PAGEREF _Toc117350473 \h </w:instrText>
      </w:r>
      <w:r>
        <w:rPr>
          <w:bCs/>
        </w:rPr>
        <w:fldChar w:fldCharType="separate"/>
      </w:r>
      <w:r>
        <w:rPr>
          <w:bCs/>
        </w:rPr>
        <w:t>66</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"_Toc117350474" </w:instrText>
      </w:r>
      <w:r>
        <w:fldChar w:fldCharType="separate"/>
      </w:r>
      <w:r>
        <w:rPr>
          <w:rStyle w:val="47"/>
          <w:b w:val="0"/>
        </w:rPr>
        <w:t>9.施工安全、治安保卫和环境保护</w:t>
      </w:r>
      <w:r>
        <w:rPr>
          <w:b w:val="0"/>
        </w:rPr>
        <w:tab/>
      </w:r>
      <w:r>
        <w:rPr>
          <w:b w:val="0"/>
        </w:rPr>
        <w:fldChar w:fldCharType="begin"/>
      </w:r>
      <w:r>
        <w:rPr>
          <w:b w:val="0"/>
        </w:rPr>
        <w:instrText xml:space="preserve"> PAGEREF _Toc117350474 \h </w:instrText>
      </w:r>
      <w:r>
        <w:rPr>
          <w:b w:val="0"/>
        </w:rPr>
        <w:fldChar w:fldCharType="separate"/>
      </w:r>
      <w:r>
        <w:rPr>
          <w:b w:val="0"/>
        </w:rPr>
        <w:t>66</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"_Toc117350475" </w:instrText>
      </w:r>
      <w:r>
        <w:fldChar w:fldCharType="separate"/>
      </w:r>
      <w:r>
        <w:rPr>
          <w:rStyle w:val="47"/>
          <w:bCs/>
        </w:rPr>
        <w:t>9.1  发包人的施工安全责任</w:t>
      </w:r>
      <w:r>
        <w:rPr>
          <w:bCs/>
        </w:rPr>
        <w:tab/>
      </w:r>
      <w:r>
        <w:rPr>
          <w:bCs/>
        </w:rPr>
        <w:fldChar w:fldCharType="begin"/>
      </w:r>
      <w:r>
        <w:rPr>
          <w:bCs/>
        </w:rPr>
        <w:instrText xml:space="preserve"> PAGEREF _Toc117350475 \h </w:instrText>
      </w:r>
      <w:r>
        <w:rPr>
          <w:bCs/>
        </w:rPr>
        <w:fldChar w:fldCharType="separate"/>
      </w:r>
      <w:r>
        <w:rPr>
          <w:bCs/>
        </w:rPr>
        <w:t>66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"_Toc117350476" </w:instrText>
      </w:r>
      <w:r>
        <w:fldChar w:fldCharType="separate"/>
      </w:r>
      <w:r>
        <w:rPr>
          <w:rStyle w:val="47"/>
          <w:bCs/>
        </w:rPr>
        <w:t>9.2  承包人的施工安全责任</w:t>
      </w:r>
      <w:r>
        <w:rPr>
          <w:bCs/>
        </w:rPr>
        <w:tab/>
      </w:r>
      <w:r>
        <w:rPr>
          <w:bCs/>
        </w:rPr>
        <w:fldChar w:fldCharType="begin"/>
      </w:r>
      <w:r>
        <w:rPr>
          <w:bCs/>
        </w:rPr>
        <w:instrText xml:space="preserve"> PAGEREF _Toc117350476 \h </w:instrText>
      </w:r>
      <w:r>
        <w:rPr>
          <w:bCs/>
        </w:rPr>
        <w:fldChar w:fldCharType="separate"/>
      </w:r>
      <w:r>
        <w:rPr>
          <w:bCs/>
        </w:rPr>
        <w:t>67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"_Toc117350477" </w:instrText>
      </w:r>
      <w:r>
        <w:fldChar w:fldCharType="separate"/>
      </w:r>
      <w:r>
        <w:rPr>
          <w:rStyle w:val="47"/>
          <w:bCs/>
        </w:rPr>
        <w:t>9.3  治安保卫</w:t>
      </w:r>
      <w:r>
        <w:rPr>
          <w:bCs/>
        </w:rPr>
        <w:tab/>
      </w:r>
      <w:r>
        <w:rPr>
          <w:bCs/>
        </w:rPr>
        <w:fldChar w:fldCharType="begin"/>
      </w:r>
      <w:r>
        <w:rPr>
          <w:bCs/>
        </w:rPr>
        <w:instrText xml:space="preserve"> PAGEREF _Toc117350477 \h </w:instrText>
      </w:r>
      <w:r>
        <w:rPr>
          <w:bCs/>
        </w:rPr>
        <w:fldChar w:fldCharType="separate"/>
      </w:r>
      <w:r>
        <w:rPr>
          <w:bCs/>
        </w:rPr>
        <w:t>67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"_Toc117350478" </w:instrText>
      </w:r>
      <w:r>
        <w:fldChar w:fldCharType="separate"/>
      </w:r>
      <w:r>
        <w:rPr>
          <w:rStyle w:val="47"/>
          <w:bCs/>
        </w:rPr>
        <w:t>9.4  环境保护</w:t>
      </w:r>
      <w:r>
        <w:rPr>
          <w:bCs/>
        </w:rPr>
        <w:tab/>
      </w:r>
      <w:r>
        <w:rPr>
          <w:bCs/>
        </w:rPr>
        <w:fldChar w:fldCharType="begin"/>
      </w:r>
      <w:r>
        <w:rPr>
          <w:bCs/>
        </w:rPr>
        <w:instrText xml:space="preserve"> PAGEREF _Toc117350478 \h </w:instrText>
      </w:r>
      <w:r>
        <w:rPr>
          <w:bCs/>
        </w:rPr>
        <w:fldChar w:fldCharType="separate"/>
      </w:r>
      <w:r>
        <w:rPr>
          <w:bCs/>
        </w:rPr>
        <w:t>68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"_Toc117350479" </w:instrText>
      </w:r>
      <w:r>
        <w:fldChar w:fldCharType="separate"/>
      </w:r>
      <w:r>
        <w:rPr>
          <w:rStyle w:val="47"/>
          <w:bCs/>
        </w:rPr>
        <w:t>9.5  事故处理</w:t>
      </w:r>
      <w:r>
        <w:rPr>
          <w:bCs/>
        </w:rPr>
        <w:tab/>
      </w:r>
      <w:r>
        <w:rPr>
          <w:bCs/>
        </w:rPr>
        <w:fldChar w:fldCharType="begin"/>
      </w:r>
      <w:r>
        <w:rPr>
          <w:bCs/>
        </w:rPr>
        <w:instrText xml:space="preserve"> PAGEREF _Toc117350479 \h </w:instrText>
      </w:r>
      <w:r>
        <w:rPr>
          <w:bCs/>
        </w:rPr>
        <w:fldChar w:fldCharType="separate"/>
      </w:r>
      <w:r>
        <w:rPr>
          <w:bCs/>
        </w:rPr>
        <w:t>68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"_Toc117350480" </w:instrText>
      </w:r>
      <w:r>
        <w:fldChar w:fldCharType="separate"/>
      </w:r>
      <w:r>
        <w:rPr>
          <w:rStyle w:val="47"/>
          <w:bCs/>
        </w:rPr>
        <w:t>9.6  施工现场安全生产标准化管理目标</w:t>
      </w:r>
      <w:r>
        <w:rPr>
          <w:bCs/>
        </w:rPr>
        <w:tab/>
      </w:r>
      <w:r>
        <w:rPr>
          <w:bCs/>
        </w:rPr>
        <w:fldChar w:fldCharType="begin"/>
      </w:r>
      <w:r>
        <w:rPr>
          <w:bCs/>
        </w:rPr>
        <w:instrText xml:space="preserve"> PAGEREF _Toc117350480 \h </w:instrText>
      </w:r>
      <w:r>
        <w:rPr>
          <w:bCs/>
        </w:rPr>
        <w:fldChar w:fldCharType="separate"/>
      </w:r>
      <w:r>
        <w:rPr>
          <w:bCs/>
        </w:rPr>
        <w:t>69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"_Toc117350481" </w:instrText>
      </w:r>
      <w:r>
        <w:fldChar w:fldCharType="separate"/>
      </w:r>
      <w:r>
        <w:rPr>
          <w:rStyle w:val="47"/>
          <w:bCs/>
        </w:rPr>
        <w:t>9.7  特殊安全文明施工</w:t>
      </w:r>
      <w:r>
        <w:rPr>
          <w:bCs/>
        </w:rPr>
        <w:tab/>
      </w:r>
      <w:r>
        <w:rPr>
          <w:bCs/>
        </w:rPr>
        <w:fldChar w:fldCharType="begin"/>
      </w:r>
      <w:r>
        <w:rPr>
          <w:bCs/>
        </w:rPr>
        <w:instrText xml:space="preserve"> PAGEREF _Toc117350481 \h </w:instrText>
      </w:r>
      <w:r>
        <w:rPr>
          <w:bCs/>
        </w:rPr>
        <w:fldChar w:fldCharType="separate"/>
      </w:r>
      <w:r>
        <w:rPr>
          <w:bCs/>
        </w:rPr>
        <w:t>69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"_Toc117350482" </w:instrText>
      </w:r>
      <w:r>
        <w:fldChar w:fldCharType="separate"/>
      </w:r>
      <w:r>
        <w:rPr>
          <w:rStyle w:val="47"/>
          <w:b w:val="0"/>
        </w:rPr>
        <w:t>10.进度计划</w:t>
      </w:r>
      <w:r>
        <w:rPr>
          <w:b w:val="0"/>
        </w:rPr>
        <w:tab/>
      </w:r>
      <w:r>
        <w:rPr>
          <w:b w:val="0"/>
        </w:rPr>
        <w:fldChar w:fldCharType="begin"/>
      </w:r>
      <w:r>
        <w:rPr>
          <w:b w:val="0"/>
        </w:rPr>
        <w:instrText xml:space="preserve"> PAGEREF _Toc117350482 \h </w:instrText>
      </w:r>
      <w:r>
        <w:rPr>
          <w:b w:val="0"/>
        </w:rPr>
        <w:fldChar w:fldCharType="separate"/>
      </w:r>
      <w:r>
        <w:rPr>
          <w:b w:val="0"/>
        </w:rPr>
        <w:t>69</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"_Toc117350483" </w:instrText>
      </w:r>
      <w:r>
        <w:fldChar w:fldCharType="separate"/>
      </w:r>
      <w:r>
        <w:rPr>
          <w:rStyle w:val="47"/>
          <w:bCs/>
        </w:rPr>
        <w:t>10.1  合同进度计划</w:t>
      </w:r>
      <w:r>
        <w:rPr>
          <w:bCs/>
        </w:rPr>
        <w:tab/>
      </w:r>
      <w:r>
        <w:rPr>
          <w:bCs/>
        </w:rPr>
        <w:fldChar w:fldCharType="begin"/>
      </w:r>
      <w:r>
        <w:rPr>
          <w:bCs/>
        </w:rPr>
        <w:instrText xml:space="preserve"> PAGEREF _Toc117350483 \h </w:instrText>
      </w:r>
      <w:r>
        <w:rPr>
          <w:bCs/>
        </w:rPr>
        <w:fldChar w:fldCharType="separate"/>
      </w:r>
      <w:r>
        <w:rPr>
          <w:bCs/>
        </w:rPr>
        <w:t>69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"_Toc117350484" </w:instrText>
      </w:r>
      <w:r>
        <w:fldChar w:fldCharType="separate"/>
      </w:r>
      <w:r>
        <w:rPr>
          <w:rStyle w:val="47"/>
          <w:bCs/>
        </w:rPr>
        <w:t>10.2  合同进度计划的修订</w:t>
      </w:r>
      <w:r>
        <w:rPr>
          <w:bCs/>
        </w:rPr>
        <w:tab/>
      </w:r>
      <w:r>
        <w:rPr>
          <w:bCs/>
        </w:rPr>
        <w:fldChar w:fldCharType="begin"/>
      </w:r>
      <w:r>
        <w:rPr>
          <w:bCs/>
        </w:rPr>
        <w:instrText xml:space="preserve"> PAGEREF _Toc117350484 \h </w:instrText>
      </w:r>
      <w:r>
        <w:rPr>
          <w:bCs/>
        </w:rPr>
        <w:fldChar w:fldCharType="separate"/>
      </w:r>
      <w:r>
        <w:rPr>
          <w:bCs/>
        </w:rPr>
        <w:t>70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"_Toc117350485" </w:instrText>
      </w:r>
      <w:r>
        <w:fldChar w:fldCharType="separate"/>
      </w:r>
      <w:r>
        <w:rPr>
          <w:rStyle w:val="47"/>
          <w:bCs/>
        </w:rPr>
        <w:t>10.3  合同进度计划的其他要求</w:t>
      </w:r>
      <w:r>
        <w:rPr>
          <w:bCs/>
        </w:rPr>
        <w:tab/>
      </w:r>
      <w:r>
        <w:rPr>
          <w:bCs/>
        </w:rPr>
        <w:fldChar w:fldCharType="begin"/>
      </w:r>
      <w:r>
        <w:rPr>
          <w:bCs/>
        </w:rPr>
        <w:instrText xml:space="preserve"> PAGEREF _Toc117350485 \h </w:instrText>
      </w:r>
      <w:r>
        <w:rPr>
          <w:bCs/>
        </w:rPr>
        <w:fldChar w:fldCharType="separate"/>
      </w:r>
      <w:r>
        <w:rPr>
          <w:bCs/>
        </w:rPr>
        <w:t>70</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"_Toc117350486" </w:instrText>
      </w:r>
      <w:r>
        <w:fldChar w:fldCharType="separate"/>
      </w:r>
      <w:r>
        <w:rPr>
          <w:rStyle w:val="47"/>
          <w:b w:val="0"/>
        </w:rPr>
        <w:t>11.开工和竣工</w:t>
      </w:r>
      <w:r>
        <w:rPr>
          <w:b w:val="0"/>
        </w:rPr>
        <w:tab/>
      </w:r>
      <w:r>
        <w:rPr>
          <w:b w:val="0"/>
        </w:rPr>
        <w:fldChar w:fldCharType="begin"/>
      </w:r>
      <w:r>
        <w:rPr>
          <w:b w:val="0"/>
        </w:rPr>
        <w:instrText xml:space="preserve"> PAGEREF _Toc117350486 \h </w:instrText>
      </w:r>
      <w:r>
        <w:rPr>
          <w:b w:val="0"/>
        </w:rPr>
        <w:fldChar w:fldCharType="separate"/>
      </w:r>
      <w:r>
        <w:rPr>
          <w:b w:val="0"/>
        </w:rPr>
        <w:t>70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"_Toc117350487" </w:instrText>
      </w:r>
      <w:r>
        <w:fldChar w:fldCharType="separate"/>
      </w:r>
      <w:r>
        <w:rPr>
          <w:rStyle w:val="47"/>
          <w:bCs/>
        </w:rPr>
        <w:t>11.1  开工</w:t>
      </w:r>
      <w:r>
        <w:rPr>
          <w:bCs/>
        </w:rPr>
        <w:tab/>
      </w:r>
      <w:r>
        <w:rPr>
          <w:bCs/>
        </w:rPr>
        <w:fldChar w:fldCharType="begin"/>
      </w:r>
      <w:r>
        <w:rPr>
          <w:bCs/>
        </w:rPr>
        <w:instrText xml:space="preserve"> PAGEREF _Toc117350487 \h </w:instrText>
      </w:r>
      <w:r>
        <w:rPr>
          <w:bCs/>
        </w:rPr>
        <w:fldChar w:fldCharType="separate"/>
      </w:r>
      <w:r>
        <w:rPr>
          <w:bCs/>
        </w:rPr>
        <w:t>70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"_Toc117350488" </w:instrText>
      </w:r>
      <w:r>
        <w:fldChar w:fldCharType="separate"/>
      </w:r>
      <w:r>
        <w:rPr>
          <w:rStyle w:val="47"/>
          <w:bCs/>
        </w:rPr>
        <w:t>11.2  竣工</w:t>
      </w:r>
      <w:r>
        <w:rPr>
          <w:bCs/>
        </w:rPr>
        <w:tab/>
      </w:r>
      <w:r>
        <w:rPr>
          <w:bCs/>
        </w:rPr>
        <w:fldChar w:fldCharType="begin"/>
      </w:r>
      <w:r>
        <w:rPr>
          <w:bCs/>
        </w:rPr>
        <w:instrText xml:space="preserve"> PAGEREF _Toc117350488 \h </w:instrText>
      </w:r>
      <w:r>
        <w:rPr>
          <w:bCs/>
        </w:rPr>
        <w:fldChar w:fldCharType="separate"/>
      </w:r>
      <w:r>
        <w:rPr>
          <w:bCs/>
        </w:rPr>
        <w:t>70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"_Toc117350489" </w:instrText>
      </w:r>
      <w:r>
        <w:fldChar w:fldCharType="separate"/>
      </w:r>
      <w:r>
        <w:rPr>
          <w:rStyle w:val="47"/>
          <w:bCs/>
        </w:rPr>
        <w:t>11.3  发包人的工期延误</w:t>
      </w:r>
      <w:r>
        <w:rPr>
          <w:bCs/>
        </w:rPr>
        <w:tab/>
      </w:r>
      <w:r>
        <w:rPr>
          <w:bCs/>
        </w:rPr>
        <w:fldChar w:fldCharType="begin"/>
      </w:r>
      <w:r>
        <w:rPr>
          <w:bCs/>
        </w:rPr>
        <w:instrText xml:space="preserve"> PAGEREF _Toc117350489 \h </w:instrText>
      </w:r>
      <w:r>
        <w:rPr>
          <w:bCs/>
        </w:rPr>
        <w:fldChar w:fldCharType="separate"/>
      </w:r>
      <w:r>
        <w:rPr>
          <w:bCs/>
        </w:rPr>
        <w:t>71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"_Toc117350490" </w:instrText>
      </w:r>
      <w:r>
        <w:fldChar w:fldCharType="separate"/>
      </w:r>
      <w:r>
        <w:rPr>
          <w:rStyle w:val="47"/>
          <w:bCs/>
        </w:rPr>
        <w:t>11.4  异常恶劣的气候条件</w:t>
      </w:r>
      <w:r>
        <w:rPr>
          <w:bCs/>
        </w:rPr>
        <w:tab/>
      </w:r>
      <w:r>
        <w:rPr>
          <w:bCs/>
        </w:rPr>
        <w:fldChar w:fldCharType="begin"/>
      </w:r>
      <w:r>
        <w:rPr>
          <w:bCs/>
        </w:rPr>
        <w:instrText xml:space="preserve"> PAGEREF _Toc117350490 \h </w:instrText>
      </w:r>
      <w:r>
        <w:rPr>
          <w:bCs/>
        </w:rPr>
        <w:fldChar w:fldCharType="separate"/>
      </w:r>
      <w:r>
        <w:rPr>
          <w:bCs/>
        </w:rPr>
        <w:t>71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"_Toc117350491" </w:instrText>
      </w:r>
      <w:r>
        <w:fldChar w:fldCharType="separate"/>
      </w:r>
      <w:r>
        <w:rPr>
          <w:rStyle w:val="47"/>
          <w:bCs/>
        </w:rPr>
        <w:t>11.5  承包人的工期延误</w:t>
      </w:r>
      <w:r>
        <w:rPr>
          <w:bCs/>
        </w:rPr>
        <w:tab/>
      </w:r>
      <w:r>
        <w:rPr>
          <w:bCs/>
        </w:rPr>
        <w:fldChar w:fldCharType="begin"/>
      </w:r>
      <w:r>
        <w:rPr>
          <w:bCs/>
        </w:rPr>
        <w:instrText xml:space="preserve"> PAGEREF _Toc117350491 \h </w:instrText>
      </w:r>
      <w:r>
        <w:rPr>
          <w:bCs/>
        </w:rPr>
        <w:fldChar w:fldCharType="separate"/>
      </w:r>
      <w:r>
        <w:rPr>
          <w:bCs/>
        </w:rPr>
        <w:t>71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"_Toc117350492" </w:instrText>
      </w:r>
      <w:r>
        <w:fldChar w:fldCharType="separate"/>
      </w:r>
      <w:r>
        <w:rPr>
          <w:rStyle w:val="47"/>
          <w:bCs/>
        </w:rPr>
        <w:t>11.6  发承包双方原因导致的工期延误</w:t>
      </w:r>
      <w:r>
        <w:rPr>
          <w:bCs/>
        </w:rPr>
        <w:tab/>
      </w:r>
      <w:r>
        <w:rPr>
          <w:bCs/>
        </w:rPr>
        <w:fldChar w:fldCharType="begin"/>
      </w:r>
      <w:r>
        <w:rPr>
          <w:bCs/>
        </w:rPr>
        <w:instrText xml:space="preserve"> PAGEREF _Toc117350492 \h </w:instrText>
      </w:r>
      <w:r>
        <w:rPr>
          <w:bCs/>
        </w:rPr>
        <w:fldChar w:fldCharType="separate"/>
      </w:r>
      <w:r>
        <w:rPr>
          <w:bCs/>
        </w:rPr>
        <w:t>71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"_Toc117350493" </w:instrText>
      </w:r>
      <w:r>
        <w:fldChar w:fldCharType="separate"/>
      </w:r>
      <w:r>
        <w:rPr>
          <w:rStyle w:val="47"/>
          <w:bCs/>
        </w:rPr>
        <w:t>11.7  非发承包双方原因导致的工期延误</w:t>
      </w:r>
      <w:r>
        <w:rPr>
          <w:bCs/>
        </w:rPr>
        <w:tab/>
      </w:r>
      <w:r>
        <w:rPr>
          <w:bCs/>
        </w:rPr>
        <w:fldChar w:fldCharType="begin"/>
      </w:r>
      <w:r>
        <w:rPr>
          <w:bCs/>
        </w:rPr>
        <w:instrText xml:space="preserve"> PAGEREF _Toc117350493 \h </w:instrText>
      </w:r>
      <w:r>
        <w:rPr>
          <w:bCs/>
        </w:rPr>
        <w:fldChar w:fldCharType="separate"/>
      </w:r>
      <w:r>
        <w:rPr>
          <w:bCs/>
        </w:rPr>
        <w:t>72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"_Toc117350494" </w:instrText>
      </w:r>
      <w:r>
        <w:fldChar w:fldCharType="separate"/>
      </w:r>
      <w:r>
        <w:rPr>
          <w:rStyle w:val="47"/>
          <w:bCs/>
        </w:rPr>
        <w:t>11.8  工期提前</w:t>
      </w:r>
      <w:r>
        <w:rPr>
          <w:bCs/>
        </w:rPr>
        <w:tab/>
      </w:r>
      <w:r>
        <w:rPr>
          <w:bCs/>
        </w:rPr>
        <w:fldChar w:fldCharType="begin"/>
      </w:r>
      <w:r>
        <w:rPr>
          <w:bCs/>
        </w:rPr>
        <w:instrText xml:space="preserve"> PAGEREF _Toc117350494 \h </w:instrText>
      </w:r>
      <w:r>
        <w:rPr>
          <w:bCs/>
        </w:rPr>
        <w:fldChar w:fldCharType="separate"/>
      </w:r>
      <w:r>
        <w:rPr>
          <w:bCs/>
        </w:rPr>
        <w:t>72</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"_Toc117350495" </w:instrText>
      </w:r>
      <w:r>
        <w:fldChar w:fldCharType="separate"/>
      </w:r>
      <w:r>
        <w:rPr>
          <w:rStyle w:val="47"/>
          <w:b w:val="0"/>
        </w:rPr>
        <w:t>12.暂停施工</w:t>
      </w:r>
      <w:r>
        <w:rPr>
          <w:b w:val="0"/>
        </w:rPr>
        <w:tab/>
      </w:r>
      <w:r>
        <w:rPr>
          <w:b w:val="0"/>
        </w:rPr>
        <w:fldChar w:fldCharType="begin"/>
      </w:r>
      <w:r>
        <w:rPr>
          <w:b w:val="0"/>
        </w:rPr>
        <w:instrText xml:space="preserve"> PAGEREF _Toc117350495 \h </w:instrText>
      </w:r>
      <w:r>
        <w:rPr>
          <w:b w:val="0"/>
        </w:rPr>
        <w:fldChar w:fldCharType="separate"/>
      </w:r>
      <w:r>
        <w:rPr>
          <w:b w:val="0"/>
        </w:rPr>
        <w:t>72</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"_Toc117350496" </w:instrText>
      </w:r>
      <w:r>
        <w:fldChar w:fldCharType="separate"/>
      </w:r>
      <w:r>
        <w:rPr>
          <w:rStyle w:val="47"/>
          <w:bCs/>
        </w:rPr>
        <w:t>12.1  承包人暂停施工的责任</w:t>
      </w:r>
      <w:r>
        <w:rPr>
          <w:bCs/>
        </w:rPr>
        <w:tab/>
      </w:r>
      <w:r>
        <w:rPr>
          <w:bCs/>
        </w:rPr>
        <w:fldChar w:fldCharType="begin"/>
      </w:r>
      <w:r>
        <w:rPr>
          <w:bCs/>
        </w:rPr>
        <w:instrText xml:space="preserve"> PAGEREF _Toc117350496 \h </w:instrText>
      </w:r>
      <w:r>
        <w:rPr>
          <w:bCs/>
        </w:rPr>
        <w:fldChar w:fldCharType="separate"/>
      </w:r>
      <w:r>
        <w:rPr>
          <w:bCs/>
        </w:rPr>
        <w:t>72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"_Toc117350497" </w:instrText>
      </w:r>
      <w:r>
        <w:fldChar w:fldCharType="separate"/>
      </w:r>
      <w:r>
        <w:rPr>
          <w:rStyle w:val="47"/>
          <w:bCs/>
        </w:rPr>
        <w:t>12.2  发包人暂停施工的责任</w:t>
      </w:r>
      <w:r>
        <w:rPr>
          <w:bCs/>
        </w:rPr>
        <w:tab/>
      </w:r>
      <w:r>
        <w:rPr>
          <w:bCs/>
        </w:rPr>
        <w:fldChar w:fldCharType="begin"/>
      </w:r>
      <w:r>
        <w:rPr>
          <w:bCs/>
        </w:rPr>
        <w:instrText xml:space="preserve"> PAGEREF _Toc117350497 \h </w:instrText>
      </w:r>
      <w:r>
        <w:rPr>
          <w:bCs/>
        </w:rPr>
        <w:fldChar w:fldCharType="separate"/>
      </w:r>
      <w:r>
        <w:rPr>
          <w:bCs/>
        </w:rPr>
        <w:t>72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"_Toc117350498" </w:instrText>
      </w:r>
      <w:r>
        <w:fldChar w:fldCharType="separate"/>
      </w:r>
      <w:r>
        <w:rPr>
          <w:rStyle w:val="47"/>
          <w:bCs/>
        </w:rPr>
        <w:t>12.3  监理人暂停施工指示</w:t>
      </w:r>
      <w:r>
        <w:rPr>
          <w:bCs/>
        </w:rPr>
        <w:tab/>
      </w:r>
      <w:r>
        <w:rPr>
          <w:bCs/>
        </w:rPr>
        <w:fldChar w:fldCharType="begin"/>
      </w:r>
      <w:r>
        <w:rPr>
          <w:bCs/>
        </w:rPr>
        <w:instrText xml:space="preserve"> PAGEREF _Toc117350498 \h </w:instrText>
      </w:r>
      <w:r>
        <w:rPr>
          <w:bCs/>
        </w:rPr>
        <w:fldChar w:fldCharType="separate"/>
      </w:r>
      <w:r>
        <w:rPr>
          <w:bCs/>
        </w:rPr>
        <w:t>72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"_Toc117350499" </w:instrText>
      </w:r>
      <w:r>
        <w:fldChar w:fldCharType="separate"/>
      </w:r>
      <w:r>
        <w:rPr>
          <w:rStyle w:val="47"/>
          <w:bCs/>
        </w:rPr>
        <w:t>12.4  暂停施工后的复工</w:t>
      </w:r>
      <w:r>
        <w:rPr>
          <w:bCs/>
        </w:rPr>
        <w:tab/>
      </w:r>
      <w:r>
        <w:rPr>
          <w:bCs/>
        </w:rPr>
        <w:fldChar w:fldCharType="begin"/>
      </w:r>
      <w:r>
        <w:rPr>
          <w:bCs/>
        </w:rPr>
        <w:instrText xml:space="preserve"> PAGEREF _Toc117350499 \h </w:instrText>
      </w:r>
      <w:r>
        <w:rPr>
          <w:bCs/>
        </w:rPr>
        <w:fldChar w:fldCharType="separate"/>
      </w:r>
      <w:r>
        <w:rPr>
          <w:bCs/>
        </w:rPr>
        <w:t>73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"_Toc117350500" </w:instrText>
      </w:r>
      <w:r>
        <w:fldChar w:fldCharType="separate"/>
      </w:r>
      <w:r>
        <w:rPr>
          <w:rStyle w:val="47"/>
          <w:bCs/>
        </w:rPr>
        <w:t>12.5  暂停施工持续56天以上</w:t>
      </w:r>
      <w:r>
        <w:rPr>
          <w:bCs/>
        </w:rPr>
        <w:tab/>
      </w:r>
      <w:r>
        <w:rPr>
          <w:bCs/>
        </w:rPr>
        <w:fldChar w:fldCharType="begin"/>
      </w:r>
      <w:r>
        <w:rPr>
          <w:bCs/>
        </w:rPr>
        <w:instrText xml:space="preserve"> PAGEREF _Toc117350500 \h </w:instrText>
      </w:r>
      <w:r>
        <w:rPr>
          <w:bCs/>
        </w:rPr>
        <w:fldChar w:fldCharType="separate"/>
      </w:r>
      <w:r>
        <w:rPr>
          <w:bCs/>
        </w:rPr>
        <w:t>73</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"_Toc117350501" </w:instrText>
      </w:r>
      <w:r>
        <w:fldChar w:fldCharType="separate"/>
      </w:r>
      <w:r>
        <w:rPr>
          <w:rStyle w:val="47"/>
          <w:b w:val="0"/>
        </w:rPr>
        <w:t>13.工程质量</w:t>
      </w:r>
      <w:r>
        <w:rPr>
          <w:b w:val="0"/>
        </w:rPr>
        <w:tab/>
      </w:r>
      <w:r>
        <w:rPr>
          <w:b w:val="0"/>
        </w:rPr>
        <w:fldChar w:fldCharType="begin"/>
      </w:r>
      <w:r>
        <w:rPr>
          <w:b w:val="0"/>
        </w:rPr>
        <w:instrText xml:space="preserve"> PAGEREF _Toc117350501 \h </w:instrText>
      </w:r>
      <w:r>
        <w:rPr>
          <w:b w:val="0"/>
        </w:rPr>
        <w:fldChar w:fldCharType="separate"/>
      </w:r>
      <w:r>
        <w:rPr>
          <w:b w:val="0"/>
        </w:rPr>
        <w:t>73</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"_Toc117350502" </w:instrText>
      </w:r>
      <w:r>
        <w:fldChar w:fldCharType="separate"/>
      </w:r>
      <w:r>
        <w:rPr>
          <w:rStyle w:val="47"/>
          <w:bCs/>
        </w:rPr>
        <w:t>13.1  工程质量要求</w:t>
      </w:r>
      <w:r>
        <w:rPr>
          <w:bCs/>
        </w:rPr>
        <w:tab/>
      </w:r>
      <w:r>
        <w:rPr>
          <w:bCs/>
        </w:rPr>
        <w:fldChar w:fldCharType="begin"/>
      </w:r>
      <w:r>
        <w:rPr>
          <w:bCs/>
        </w:rPr>
        <w:instrText xml:space="preserve"> PAGEREF _Toc117350502 \h </w:instrText>
      </w:r>
      <w:r>
        <w:rPr>
          <w:bCs/>
        </w:rPr>
        <w:fldChar w:fldCharType="separate"/>
      </w:r>
      <w:r>
        <w:rPr>
          <w:bCs/>
        </w:rPr>
        <w:t>73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"_Toc117350503" </w:instrText>
      </w:r>
      <w:r>
        <w:fldChar w:fldCharType="separate"/>
      </w:r>
      <w:r>
        <w:rPr>
          <w:rStyle w:val="47"/>
          <w:bCs/>
        </w:rPr>
        <w:t>13.2  承包人的质量管理</w:t>
      </w:r>
      <w:r>
        <w:rPr>
          <w:bCs/>
        </w:rPr>
        <w:tab/>
      </w:r>
      <w:r>
        <w:rPr>
          <w:bCs/>
        </w:rPr>
        <w:fldChar w:fldCharType="begin"/>
      </w:r>
      <w:r>
        <w:rPr>
          <w:bCs/>
        </w:rPr>
        <w:instrText xml:space="preserve"> PAGEREF _Toc117350503 \h </w:instrText>
      </w:r>
      <w:r>
        <w:rPr>
          <w:bCs/>
        </w:rPr>
        <w:fldChar w:fldCharType="separate"/>
      </w:r>
      <w:r>
        <w:rPr>
          <w:bCs/>
        </w:rPr>
        <w:t>74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"_Toc117350504" </w:instrText>
      </w:r>
      <w:r>
        <w:fldChar w:fldCharType="separate"/>
      </w:r>
      <w:r>
        <w:rPr>
          <w:rStyle w:val="47"/>
          <w:bCs/>
        </w:rPr>
        <w:t>13.3  承包人的质量检查</w:t>
      </w:r>
      <w:r>
        <w:rPr>
          <w:bCs/>
        </w:rPr>
        <w:tab/>
      </w:r>
      <w:r>
        <w:rPr>
          <w:bCs/>
        </w:rPr>
        <w:fldChar w:fldCharType="begin"/>
      </w:r>
      <w:r>
        <w:rPr>
          <w:bCs/>
        </w:rPr>
        <w:instrText xml:space="preserve"> PAGEREF _Toc117350504 \h </w:instrText>
      </w:r>
      <w:r>
        <w:rPr>
          <w:bCs/>
        </w:rPr>
        <w:fldChar w:fldCharType="separate"/>
      </w:r>
      <w:r>
        <w:rPr>
          <w:bCs/>
        </w:rPr>
        <w:t>74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"_Toc117350505" </w:instrText>
      </w:r>
      <w:r>
        <w:fldChar w:fldCharType="separate"/>
      </w:r>
      <w:r>
        <w:rPr>
          <w:rStyle w:val="47"/>
          <w:bCs/>
        </w:rPr>
        <w:t>13.4  监理人的质量检查</w:t>
      </w:r>
      <w:r>
        <w:rPr>
          <w:bCs/>
        </w:rPr>
        <w:tab/>
      </w:r>
      <w:r>
        <w:rPr>
          <w:bCs/>
        </w:rPr>
        <w:fldChar w:fldCharType="begin"/>
      </w:r>
      <w:r>
        <w:rPr>
          <w:bCs/>
        </w:rPr>
        <w:instrText xml:space="preserve"> PAGEREF _Toc117350505 \h </w:instrText>
      </w:r>
      <w:r>
        <w:rPr>
          <w:bCs/>
        </w:rPr>
        <w:fldChar w:fldCharType="separate"/>
      </w:r>
      <w:r>
        <w:rPr>
          <w:bCs/>
        </w:rPr>
        <w:t>74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"_Toc117350506" </w:instrText>
      </w:r>
      <w:r>
        <w:fldChar w:fldCharType="separate"/>
      </w:r>
      <w:r>
        <w:rPr>
          <w:rStyle w:val="47"/>
          <w:bCs/>
        </w:rPr>
        <w:t>13.5  工程隐蔽部位覆盖前的检查</w:t>
      </w:r>
      <w:r>
        <w:rPr>
          <w:bCs/>
        </w:rPr>
        <w:tab/>
      </w:r>
      <w:r>
        <w:rPr>
          <w:bCs/>
        </w:rPr>
        <w:fldChar w:fldCharType="begin"/>
      </w:r>
      <w:r>
        <w:rPr>
          <w:bCs/>
        </w:rPr>
        <w:instrText xml:space="preserve"> PAGEREF _Toc117350506 \h </w:instrText>
      </w:r>
      <w:r>
        <w:rPr>
          <w:bCs/>
        </w:rPr>
        <w:fldChar w:fldCharType="separate"/>
      </w:r>
      <w:r>
        <w:rPr>
          <w:bCs/>
        </w:rPr>
        <w:t>74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"_Toc117350507" </w:instrText>
      </w:r>
      <w:r>
        <w:fldChar w:fldCharType="separate"/>
      </w:r>
      <w:r>
        <w:rPr>
          <w:rStyle w:val="47"/>
          <w:bCs/>
        </w:rPr>
        <w:t>13.6  清除不合格工程</w:t>
      </w:r>
      <w:r>
        <w:rPr>
          <w:bCs/>
        </w:rPr>
        <w:tab/>
      </w:r>
      <w:r>
        <w:rPr>
          <w:bCs/>
        </w:rPr>
        <w:fldChar w:fldCharType="begin"/>
      </w:r>
      <w:r>
        <w:rPr>
          <w:bCs/>
        </w:rPr>
        <w:instrText xml:space="preserve"> PAGEREF _Toc117350507 \h </w:instrText>
      </w:r>
      <w:r>
        <w:rPr>
          <w:bCs/>
        </w:rPr>
        <w:fldChar w:fldCharType="separate"/>
      </w:r>
      <w:r>
        <w:rPr>
          <w:bCs/>
        </w:rPr>
        <w:t>75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"_Toc117350508" </w:instrText>
      </w:r>
      <w:r>
        <w:fldChar w:fldCharType="separate"/>
      </w:r>
      <w:r>
        <w:rPr>
          <w:rStyle w:val="47"/>
          <w:bCs/>
        </w:rPr>
        <w:t>13.7  质量争议</w:t>
      </w:r>
      <w:r>
        <w:rPr>
          <w:bCs/>
        </w:rPr>
        <w:tab/>
      </w:r>
      <w:r>
        <w:rPr>
          <w:bCs/>
        </w:rPr>
        <w:fldChar w:fldCharType="begin"/>
      </w:r>
      <w:r>
        <w:rPr>
          <w:bCs/>
        </w:rPr>
        <w:instrText xml:space="preserve"> PAGEREF _Toc117350508 \h </w:instrText>
      </w:r>
      <w:r>
        <w:rPr>
          <w:bCs/>
        </w:rPr>
        <w:fldChar w:fldCharType="separate"/>
      </w:r>
      <w:r>
        <w:rPr>
          <w:bCs/>
        </w:rPr>
        <w:t>75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"_Toc117350509" </w:instrText>
      </w:r>
      <w:r>
        <w:fldChar w:fldCharType="separate"/>
      </w:r>
      <w:r>
        <w:rPr>
          <w:rStyle w:val="47"/>
          <w:b w:val="0"/>
        </w:rPr>
        <w:t>14.试验和检验</w:t>
      </w:r>
      <w:r>
        <w:rPr>
          <w:b w:val="0"/>
        </w:rPr>
        <w:tab/>
      </w:r>
      <w:r>
        <w:rPr>
          <w:b w:val="0"/>
        </w:rPr>
        <w:fldChar w:fldCharType="begin"/>
      </w:r>
      <w:r>
        <w:rPr>
          <w:b w:val="0"/>
        </w:rPr>
        <w:instrText xml:space="preserve"> PAGEREF _Toc117350509 \h </w:instrText>
      </w:r>
      <w:r>
        <w:rPr>
          <w:b w:val="0"/>
        </w:rPr>
        <w:fldChar w:fldCharType="separate"/>
      </w:r>
      <w:r>
        <w:rPr>
          <w:b w:val="0"/>
        </w:rPr>
        <w:t>75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"_Toc117350510" </w:instrText>
      </w:r>
      <w:r>
        <w:fldChar w:fldCharType="separate"/>
      </w:r>
      <w:r>
        <w:rPr>
          <w:rStyle w:val="47"/>
          <w:bCs/>
        </w:rPr>
        <w:t>14.1  材料、工程设备和工程的试验和检验</w:t>
      </w:r>
      <w:r>
        <w:rPr>
          <w:bCs/>
        </w:rPr>
        <w:tab/>
      </w:r>
      <w:r>
        <w:rPr>
          <w:bCs/>
        </w:rPr>
        <w:fldChar w:fldCharType="begin"/>
      </w:r>
      <w:r>
        <w:rPr>
          <w:bCs/>
        </w:rPr>
        <w:instrText xml:space="preserve"> PAGEREF _Toc117350510 \h </w:instrText>
      </w:r>
      <w:r>
        <w:rPr>
          <w:bCs/>
        </w:rPr>
        <w:fldChar w:fldCharType="separate"/>
      </w:r>
      <w:r>
        <w:rPr>
          <w:bCs/>
        </w:rPr>
        <w:t>75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"_Toc117350511" </w:instrText>
      </w:r>
      <w:r>
        <w:fldChar w:fldCharType="separate"/>
      </w:r>
      <w:r>
        <w:rPr>
          <w:rStyle w:val="47"/>
          <w:bCs/>
        </w:rPr>
        <w:t>14.2  现场材料试验</w:t>
      </w:r>
      <w:r>
        <w:rPr>
          <w:bCs/>
        </w:rPr>
        <w:tab/>
      </w:r>
      <w:r>
        <w:rPr>
          <w:bCs/>
        </w:rPr>
        <w:fldChar w:fldCharType="begin"/>
      </w:r>
      <w:r>
        <w:rPr>
          <w:bCs/>
        </w:rPr>
        <w:instrText xml:space="preserve"> PAGEREF _Toc117350511 \h </w:instrText>
      </w:r>
      <w:r>
        <w:rPr>
          <w:bCs/>
        </w:rPr>
        <w:fldChar w:fldCharType="separate"/>
      </w:r>
      <w:r>
        <w:rPr>
          <w:bCs/>
        </w:rPr>
        <w:t>76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"_Toc117350512" </w:instrText>
      </w:r>
      <w:r>
        <w:fldChar w:fldCharType="separate"/>
      </w:r>
      <w:r>
        <w:rPr>
          <w:rStyle w:val="47"/>
          <w:bCs/>
        </w:rPr>
        <w:t>14.3  现场工艺试验</w:t>
      </w:r>
      <w:r>
        <w:rPr>
          <w:bCs/>
        </w:rPr>
        <w:tab/>
      </w:r>
      <w:r>
        <w:rPr>
          <w:bCs/>
        </w:rPr>
        <w:fldChar w:fldCharType="begin"/>
      </w:r>
      <w:r>
        <w:rPr>
          <w:bCs/>
        </w:rPr>
        <w:instrText xml:space="preserve"> PAGEREF _Toc117350512 \h </w:instrText>
      </w:r>
      <w:r>
        <w:rPr>
          <w:bCs/>
        </w:rPr>
        <w:fldChar w:fldCharType="separate"/>
      </w:r>
      <w:r>
        <w:rPr>
          <w:bCs/>
        </w:rPr>
        <w:t>76</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"_Toc117350513" </w:instrText>
      </w:r>
      <w:r>
        <w:fldChar w:fldCharType="separate"/>
      </w:r>
      <w:r>
        <w:rPr>
          <w:rStyle w:val="47"/>
          <w:b w:val="0"/>
        </w:rPr>
        <w:t>15.变更</w:t>
      </w:r>
      <w:r>
        <w:rPr>
          <w:b w:val="0"/>
        </w:rPr>
        <w:tab/>
      </w:r>
      <w:r>
        <w:rPr>
          <w:b w:val="0"/>
        </w:rPr>
        <w:fldChar w:fldCharType="begin"/>
      </w:r>
      <w:r>
        <w:rPr>
          <w:b w:val="0"/>
        </w:rPr>
        <w:instrText xml:space="preserve"> PAGEREF _Toc117350513 \h </w:instrText>
      </w:r>
      <w:r>
        <w:rPr>
          <w:b w:val="0"/>
        </w:rPr>
        <w:fldChar w:fldCharType="separate"/>
      </w:r>
      <w:r>
        <w:rPr>
          <w:b w:val="0"/>
        </w:rPr>
        <w:t>76</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"_Toc117350514" </w:instrText>
      </w:r>
      <w:r>
        <w:fldChar w:fldCharType="separate"/>
      </w:r>
      <w:r>
        <w:rPr>
          <w:rStyle w:val="47"/>
          <w:bCs/>
        </w:rPr>
        <w:t>15.1  变更的范围和内容</w:t>
      </w:r>
      <w:r>
        <w:rPr>
          <w:bCs/>
        </w:rPr>
        <w:tab/>
      </w:r>
      <w:r>
        <w:rPr>
          <w:bCs/>
        </w:rPr>
        <w:fldChar w:fldCharType="begin"/>
      </w:r>
      <w:r>
        <w:rPr>
          <w:bCs/>
        </w:rPr>
        <w:instrText xml:space="preserve"> PAGEREF _Toc117350514 \h </w:instrText>
      </w:r>
      <w:r>
        <w:rPr>
          <w:bCs/>
        </w:rPr>
        <w:fldChar w:fldCharType="separate"/>
      </w:r>
      <w:r>
        <w:rPr>
          <w:bCs/>
        </w:rPr>
        <w:t>76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"_Toc117350515" </w:instrText>
      </w:r>
      <w:r>
        <w:fldChar w:fldCharType="separate"/>
      </w:r>
      <w:r>
        <w:rPr>
          <w:rStyle w:val="47"/>
          <w:bCs/>
        </w:rPr>
        <w:t>15.2  变更权</w:t>
      </w:r>
      <w:r>
        <w:rPr>
          <w:bCs/>
        </w:rPr>
        <w:tab/>
      </w:r>
      <w:r>
        <w:rPr>
          <w:bCs/>
        </w:rPr>
        <w:fldChar w:fldCharType="begin"/>
      </w:r>
      <w:r>
        <w:rPr>
          <w:bCs/>
        </w:rPr>
        <w:instrText xml:space="preserve"> PAGEREF _Toc117350515 \h </w:instrText>
      </w:r>
      <w:r>
        <w:rPr>
          <w:bCs/>
        </w:rPr>
        <w:fldChar w:fldCharType="separate"/>
      </w:r>
      <w:r>
        <w:rPr>
          <w:bCs/>
        </w:rPr>
        <w:t>76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"_Toc117350516" </w:instrText>
      </w:r>
      <w:r>
        <w:fldChar w:fldCharType="separate"/>
      </w:r>
      <w:r>
        <w:rPr>
          <w:rStyle w:val="47"/>
          <w:bCs/>
        </w:rPr>
        <w:t>15.3  变更程序</w:t>
      </w:r>
      <w:r>
        <w:rPr>
          <w:bCs/>
        </w:rPr>
        <w:tab/>
      </w:r>
      <w:r>
        <w:rPr>
          <w:bCs/>
        </w:rPr>
        <w:fldChar w:fldCharType="begin"/>
      </w:r>
      <w:r>
        <w:rPr>
          <w:bCs/>
        </w:rPr>
        <w:instrText xml:space="preserve"> PAGEREF _Toc117350516 \h </w:instrText>
      </w:r>
      <w:r>
        <w:rPr>
          <w:bCs/>
        </w:rPr>
        <w:fldChar w:fldCharType="separate"/>
      </w:r>
      <w:r>
        <w:rPr>
          <w:bCs/>
        </w:rPr>
        <w:t>77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"_Toc117350517" </w:instrText>
      </w:r>
      <w:r>
        <w:fldChar w:fldCharType="separate"/>
      </w:r>
      <w:r>
        <w:rPr>
          <w:rStyle w:val="47"/>
          <w:bCs/>
        </w:rPr>
        <w:t>15.4  变更的估价原则</w:t>
      </w:r>
      <w:r>
        <w:rPr>
          <w:bCs/>
        </w:rPr>
        <w:tab/>
      </w:r>
      <w:r>
        <w:rPr>
          <w:bCs/>
        </w:rPr>
        <w:fldChar w:fldCharType="begin"/>
      </w:r>
      <w:r>
        <w:rPr>
          <w:bCs/>
        </w:rPr>
        <w:instrText xml:space="preserve"> PAGEREF _Toc117350517 \h </w:instrText>
      </w:r>
      <w:r>
        <w:rPr>
          <w:bCs/>
        </w:rPr>
        <w:fldChar w:fldCharType="separate"/>
      </w:r>
      <w:r>
        <w:rPr>
          <w:bCs/>
        </w:rPr>
        <w:t>78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"_Toc117350518" </w:instrText>
      </w:r>
      <w:r>
        <w:fldChar w:fldCharType="separate"/>
      </w:r>
      <w:r>
        <w:rPr>
          <w:rStyle w:val="47"/>
          <w:bCs/>
        </w:rPr>
        <w:t>15.5  承包人的合理化建议</w:t>
      </w:r>
      <w:r>
        <w:rPr>
          <w:bCs/>
        </w:rPr>
        <w:tab/>
      </w:r>
      <w:r>
        <w:rPr>
          <w:bCs/>
        </w:rPr>
        <w:fldChar w:fldCharType="begin"/>
      </w:r>
      <w:r>
        <w:rPr>
          <w:bCs/>
        </w:rPr>
        <w:instrText xml:space="preserve"> PAGEREF _Toc117350518 \h </w:instrText>
      </w:r>
      <w:r>
        <w:rPr>
          <w:bCs/>
        </w:rPr>
        <w:fldChar w:fldCharType="separate"/>
      </w:r>
      <w:r>
        <w:rPr>
          <w:bCs/>
        </w:rPr>
        <w:t>78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"_Toc117350519" </w:instrText>
      </w:r>
      <w:r>
        <w:fldChar w:fldCharType="separate"/>
      </w:r>
      <w:r>
        <w:rPr>
          <w:rStyle w:val="47"/>
          <w:bCs/>
        </w:rPr>
        <w:t>15.6  暂列金额</w:t>
      </w:r>
      <w:r>
        <w:rPr>
          <w:bCs/>
        </w:rPr>
        <w:tab/>
      </w:r>
      <w:r>
        <w:rPr>
          <w:bCs/>
        </w:rPr>
        <w:fldChar w:fldCharType="begin"/>
      </w:r>
      <w:r>
        <w:rPr>
          <w:bCs/>
        </w:rPr>
        <w:instrText xml:space="preserve"> PAGEREF _Toc117350519 \h </w:instrText>
      </w:r>
      <w:r>
        <w:rPr>
          <w:bCs/>
        </w:rPr>
        <w:fldChar w:fldCharType="separate"/>
      </w:r>
      <w:r>
        <w:rPr>
          <w:bCs/>
        </w:rPr>
        <w:t>78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"_Toc117350520" </w:instrText>
      </w:r>
      <w:r>
        <w:fldChar w:fldCharType="separate"/>
      </w:r>
      <w:r>
        <w:rPr>
          <w:rStyle w:val="47"/>
          <w:bCs/>
        </w:rPr>
        <w:t>15.7  计日工</w:t>
      </w:r>
      <w:r>
        <w:rPr>
          <w:bCs/>
        </w:rPr>
        <w:tab/>
      </w:r>
      <w:r>
        <w:rPr>
          <w:bCs/>
        </w:rPr>
        <w:fldChar w:fldCharType="begin"/>
      </w:r>
      <w:r>
        <w:rPr>
          <w:bCs/>
        </w:rPr>
        <w:instrText xml:space="preserve"> PAGEREF _Toc117350520 \h </w:instrText>
      </w:r>
      <w:r>
        <w:rPr>
          <w:bCs/>
        </w:rPr>
        <w:fldChar w:fldCharType="separate"/>
      </w:r>
      <w:r>
        <w:rPr>
          <w:bCs/>
        </w:rPr>
        <w:t>78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"_Toc117350521" </w:instrText>
      </w:r>
      <w:r>
        <w:fldChar w:fldCharType="separate"/>
      </w:r>
      <w:r>
        <w:rPr>
          <w:rStyle w:val="47"/>
          <w:bCs/>
        </w:rPr>
        <w:t>15.8  暂估价</w:t>
      </w:r>
      <w:r>
        <w:rPr>
          <w:bCs/>
        </w:rPr>
        <w:tab/>
      </w:r>
      <w:r>
        <w:rPr>
          <w:bCs/>
        </w:rPr>
        <w:fldChar w:fldCharType="begin"/>
      </w:r>
      <w:r>
        <w:rPr>
          <w:bCs/>
        </w:rPr>
        <w:instrText xml:space="preserve"> PAGEREF _Toc117350521 \h </w:instrText>
      </w:r>
      <w:r>
        <w:rPr>
          <w:bCs/>
        </w:rPr>
        <w:fldChar w:fldCharType="separate"/>
      </w:r>
      <w:r>
        <w:rPr>
          <w:bCs/>
        </w:rPr>
        <w:t>79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"_Toc117350522" </w:instrText>
      </w:r>
      <w:r>
        <w:fldChar w:fldCharType="separate"/>
      </w:r>
      <w:r>
        <w:rPr>
          <w:rStyle w:val="47"/>
          <w:b w:val="0"/>
        </w:rPr>
        <w:t>16.价格调整</w:t>
      </w:r>
      <w:r>
        <w:rPr>
          <w:b w:val="0"/>
        </w:rPr>
        <w:tab/>
      </w:r>
      <w:r>
        <w:rPr>
          <w:b w:val="0"/>
        </w:rPr>
        <w:fldChar w:fldCharType="begin"/>
      </w:r>
      <w:r>
        <w:rPr>
          <w:b w:val="0"/>
        </w:rPr>
        <w:instrText xml:space="preserve"> PAGEREF _Toc117350522 \h </w:instrText>
      </w:r>
      <w:r>
        <w:rPr>
          <w:b w:val="0"/>
        </w:rPr>
        <w:fldChar w:fldCharType="separate"/>
      </w:r>
      <w:r>
        <w:rPr>
          <w:b w:val="0"/>
        </w:rPr>
        <w:t>81</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"_Toc117350523" </w:instrText>
      </w:r>
      <w:r>
        <w:fldChar w:fldCharType="separate"/>
      </w:r>
      <w:r>
        <w:rPr>
          <w:rStyle w:val="47"/>
          <w:bCs/>
        </w:rPr>
        <w:t>16.1  物价波动引起的价格调整</w:t>
      </w:r>
      <w:r>
        <w:rPr>
          <w:bCs/>
        </w:rPr>
        <w:tab/>
      </w:r>
      <w:r>
        <w:rPr>
          <w:bCs/>
        </w:rPr>
        <w:fldChar w:fldCharType="begin"/>
      </w:r>
      <w:r>
        <w:rPr>
          <w:bCs/>
        </w:rPr>
        <w:instrText xml:space="preserve"> PAGEREF _Toc117350523 \h </w:instrText>
      </w:r>
      <w:r>
        <w:rPr>
          <w:bCs/>
        </w:rPr>
        <w:fldChar w:fldCharType="separate"/>
      </w:r>
      <w:r>
        <w:rPr>
          <w:bCs/>
        </w:rPr>
        <w:t>81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"_Toc117350524" </w:instrText>
      </w:r>
      <w:r>
        <w:fldChar w:fldCharType="separate"/>
      </w:r>
      <w:r>
        <w:rPr>
          <w:rStyle w:val="47"/>
          <w:bCs/>
        </w:rPr>
        <w:t>16.2  法律变化引起的价格调整</w:t>
      </w:r>
      <w:r>
        <w:rPr>
          <w:bCs/>
        </w:rPr>
        <w:tab/>
      </w:r>
      <w:r>
        <w:rPr>
          <w:bCs/>
        </w:rPr>
        <w:fldChar w:fldCharType="begin"/>
      </w:r>
      <w:r>
        <w:rPr>
          <w:bCs/>
        </w:rPr>
        <w:instrText xml:space="preserve"> PAGEREF _Toc117350524 \h </w:instrText>
      </w:r>
      <w:r>
        <w:rPr>
          <w:bCs/>
        </w:rPr>
        <w:fldChar w:fldCharType="separate"/>
      </w:r>
      <w:r>
        <w:rPr>
          <w:bCs/>
        </w:rPr>
        <w:t>82</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"_Toc117350525" </w:instrText>
      </w:r>
      <w:r>
        <w:fldChar w:fldCharType="separate"/>
      </w:r>
      <w:r>
        <w:rPr>
          <w:rStyle w:val="47"/>
          <w:b w:val="0"/>
        </w:rPr>
        <w:t>17.计量与支付</w:t>
      </w:r>
      <w:r>
        <w:rPr>
          <w:b w:val="0"/>
        </w:rPr>
        <w:tab/>
      </w:r>
      <w:r>
        <w:rPr>
          <w:b w:val="0"/>
        </w:rPr>
        <w:fldChar w:fldCharType="begin"/>
      </w:r>
      <w:r>
        <w:rPr>
          <w:b w:val="0"/>
        </w:rPr>
        <w:instrText xml:space="preserve"> PAGEREF _Toc117350525 \h </w:instrText>
      </w:r>
      <w:r>
        <w:rPr>
          <w:b w:val="0"/>
        </w:rPr>
        <w:fldChar w:fldCharType="separate"/>
      </w:r>
      <w:r>
        <w:rPr>
          <w:b w:val="0"/>
        </w:rPr>
        <w:t>83</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"_Toc117350526" </w:instrText>
      </w:r>
      <w:r>
        <w:fldChar w:fldCharType="separate"/>
      </w:r>
      <w:r>
        <w:rPr>
          <w:rStyle w:val="47"/>
          <w:bCs/>
        </w:rPr>
        <w:t>17.1  计量</w:t>
      </w:r>
      <w:r>
        <w:rPr>
          <w:bCs/>
        </w:rPr>
        <w:tab/>
      </w:r>
      <w:r>
        <w:rPr>
          <w:bCs/>
        </w:rPr>
        <w:fldChar w:fldCharType="begin"/>
      </w:r>
      <w:r>
        <w:rPr>
          <w:bCs/>
        </w:rPr>
        <w:instrText xml:space="preserve"> PAGEREF _Toc117350526 \h </w:instrText>
      </w:r>
      <w:r>
        <w:rPr>
          <w:bCs/>
        </w:rPr>
        <w:fldChar w:fldCharType="separate"/>
      </w:r>
      <w:r>
        <w:rPr>
          <w:bCs/>
        </w:rPr>
        <w:t>83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"_Toc117350527" </w:instrText>
      </w:r>
      <w:r>
        <w:fldChar w:fldCharType="separate"/>
      </w:r>
      <w:r>
        <w:rPr>
          <w:rStyle w:val="47"/>
          <w:bCs/>
        </w:rPr>
        <w:t>17.2  预付款</w:t>
      </w:r>
      <w:r>
        <w:rPr>
          <w:bCs/>
        </w:rPr>
        <w:tab/>
      </w:r>
      <w:r>
        <w:rPr>
          <w:bCs/>
        </w:rPr>
        <w:fldChar w:fldCharType="begin"/>
      </w:r>
      <w:r>
        <w:rPr>
          <w:bCs/>
        </w:rPr>
        <w:instrText xml:space="preserve"> PAGEREF _Toc117350527 \h </w:instrText>
      </w:r>
      <w:r>
        <w:rPr>
          <w:bCs/>
        </w:rPr>
        <w:fldChar w:fldCharType="separate"/>
      </w:r>
      <w:r>
        <w:rPr>
          <w:bCs/>
        </w:rPr>
        <w:t>84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"_Toc117350528" </w:instrText>
      </w:r>
      <w:r>
        <w:fldChar w:fldCharType="separate"/>
      </w:r>
      <w:r>
        <w:rPr>
          <w:rStyle w:val="47"/>
          <w:bCs/>
        </w:rPr>
        <w:t>17.3  工程进度付款</w:t>
      </w:r>
      <w:r>
        <w:rPr>
          <w:bCs/>
        </w:rPr>
        <w:tab/>
      </w:r>
      <w:r>
        <w:rPr>
          <w:bCs/>
        </w:rPr>
        <w:fldChar w:fldCharType="begin"/>
      </w:r>
      <w:r>
        <w:rPr>
          <w:bCs/>
        </w:rPr>
        <w:instrText xml:space="preserve"> PAGEREF _Toc117350528 \h </w:instrText>
      </w:r>
      <w:r>
        <w:rPr>
          <w:bCs/>
        </w:rPr>
        <w:fldChar w:fldCharType="separate"/>
      </w:r>
      <w:r>
        <w:rPr>
          <w:bCs/>
        </w:rPr>
        <w:t>85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"_Toc117350529" </w:instrText>
      </w:r>
      <w:r>
        <w:fldChar w:fldCharType="separate"/>
      </w:r>
      <w:r>
        <w:rPr>
          <w:rStyle w:val="47"/>
          <w:bCs/>
        </w:rPr>
        <w:t>17.4  质量保证金</w:t>
      </w:r>
      <w:r>
        <w:rPr>
          <w:bCs/>
        </w:rPr>
        <w:tab/>
      </w:r>
      <w:r>
        <w:rPr>
          <w:bCs/>
        </w:rPr>
        <w:fldChar w:fldCharType="begin"/>
      </w:r>
      <w:r>
        <w:rPr>
          <w:bCs/>
        </w:rPr>
        <w:instrText xml:space="preserve"> PAGEREF _Toc117350529 \h </w:instrText>
      </w:r>
      <w:r>
        <w:rPr>
          <w:bCs/>
        </w:rPr>
        <w:fldChar w:fldCharType="separate"/>
      </w:r>
      <w:r>
        <w:rPr>
          <w:bCs/>
        </w:rPr>
        <w:t>86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"_Toc117350530" </w:instrText>
      </w:r>
      <w:r>
        <w:fldChar w:fldCharType="separate"/>
      </w:r>
      <w:r>
        <w:rPr>
          <w:rStyle w:val="47"/>
          <w:bCs/>
        </w:rPr>
        <w:t>17.5  竣工结算</w:t>
      </w:r>
      <w:r>
        <w:rPr>
          <w:bCs/>
        </w:rPr>
        <w:tab/>
      </w:r>
      <w:r>
        <w:rPr>
          <w:bCs/>
        </w:rPr>
        <w:fldChar w:fldCharType="begin"/>
      </w:r>
      <w:r>
        <w:rPr>
          <w:bCs/>
        </w:rPr>
        <w:instrText xml:space="preserve"> PAGEREF _Toc117350530 \h </w:instrText>
      </w:r>
      <w:r>
        <w:rPr>
          <w:bCs/>
        </w:rPr>
        <w:fldChar w:fldCharType="separate"/>
      </w:r>
      <w:r>
        <w:rPr>
          <w:bCs/>
        </w:rPr>
        <w:t>87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"_Toc117350531" </w:instrText>
      </w:r>
      <w:r>
        <w:fldChar w:fldCharType="separate"/>
      </w:r>
      <w:r>
        <w:rPr>
          <w:rStyle w:val="47"/>
          <w:bCs/>
        </w:rPr>
        <w:t>17.6  最终结清</w:t>
      </w:r>
      <w:r>
        <w:rPr>
          <w:bCs/>
        </w:rPr>
        <w:tab/>
      </w:r>
      <w:r>
        <w:rPr>
          <w:bCs/>
        </w:rPr>
        <w:fldChar w:fldCharType="begin"/>
      </w:r>
      <w:r>
        <w:rPr>
          <w:bCs/>
        </w:rPr>
        <w:instrText xml:space="preserve"> PAGEREF _Toc117350531 \h </w:instrText>
      </w:r>
      <w:r>
        <w:rPr>
          <w:bCs/>
        </w:rPr>
        <w:fldChar w:fldCharType="separate"/>
      </w:r>
      <w:r>
        <w:rPr>
          <w:bCs/>
        </w:rPr>
        <w:t>88</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"_Toc117350532" </w:instrText>
      </w:r>
      <w:r>
        <w:fldChar w:fldCharType="separate"/>
      </w:r>
      <w:r>
        <w:rPr>
          <w:rStyle w:val="47"/>
          <w:b w:val="0"/>
        </w:rPr>
        <w:t>18.竣工验收</w:t>
      </w:r>
      <w:r>
        <w:rPr>
          <w:b w:val="0"/>
        </w:rPr>
        <w:tab/>
      </w:r>
      <w:r>
        <w:rPr>
          <w:b w:val="0"/>
        </w:rPr>
        <w:fldChar w:fldCharType="begin"/>
      </w:r>
      <w:r>
        <w:rPr>
          <w:b w:val="0"/>
        </w:rPr>
        <w:instrText xml:space="preserve"> PAGEREF _Toc117350532 \h </w:instrText>
      </w:r>
      <w:r>
        <w:rPr>
          <w:b w:val="0"/>
        </w:rPr>
        <w:fldChar w:fldCharType="separate"/>
      </w:r>
      <w:r>
        <w:rPr>
          <w:b w:val="0"/>
        </w:rPr>
        <w:t>89</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"_Toc117350533" </w:instrText>
      </w:r>
      <w:r>
        <w:fldChar w:fldCharType="separate"/>
      </w:r>
      <w:r>
        <w:rPr>
          <w:rStyle w:val="47"/>
          <w:bCs/>
        </w:rPr>
        <w:t>18.1  竣工验收的含义</w:t>
      </w:r>
      <w:r>
        <w:rPr>
          <w:bCs/>
        </w:rPr>
        <w:tab/>
      </w:r>
      <w:r>
        <w:rPr>
          <w:bCs/>
        </w:rPr>
        <w:fldChar w:fldCharType="begin"/>
      </w:r>
      <w:r>
        <w:rPr>
          <w:bCs/>
        </w:rPr>
        <w:instrText xml:space="preserve"> PAGEREF _Toc117350533 \h </w:instrText>
      </w:r>
      <w:r>
        <w:rPr>
          <w:bCs/>
        </w:rPr>
        <w:fldChar w:fldCharType="separate"/>
      </w:r>
      <w:r>
        <w:rPr>
          <w:bCs/>
        </w:rPr>
        <w:t>89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"_Toc117350534" </w:instrText>
      </w:r>
      <w:r>
        <w:fldChar w:fldCharType="separate"/>
      </w:r>
      <w:r>
        <w:rPr>
          <w:rStyle w:val="47"/>
          <w:bCs/>
        </w:rPr>
        <w:t>18.2  竣工验收申请报告</w:t>
      </w:r>
      <w:r>
        <w:rPr>
          <w:bCs/>
        </w:rPr>
        <w:tab/>
      </w:r>
      <w:r>
        <w:rPr>
          <w:bCs/>
        </w:rPr>
        <w:fldChar w:fldCharType="begin"/>
      </w:r>
      <w:r>
        <w:rPr>
          <w:bCs/>
        </w:rPr>
        <w:instrText xml:space="preserve"> PAGEREF _Toc117350534 \h </w:instrText>
      </w:r>
      <w:r>
        <w:rPr>
          <w:bCs/>
        </w:rPr>
        <w:fldChar w:fldCharType="separate"/>
      </w:r>
      <w:r>
        <w:rPr>
          <w:bCs/>
        </w:rPr>
        <w:t>89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"_Toc117350535" </w:instrText>
      </w:r>
      <w:r>
        <w:fldChar w:fldCharType="separate"/>
      </w:r>
      <w:r>
        <w:rPr>
          <w:rStyle w:val="47"/>
          <w:bCs/>
        </w:rPr>
        <w:t>18.3  验收</w:t>
      </w:r>
      <w:r>
        <w:rPr>
          <w:bCs/>
        </w:rPr>
        <w:tab/>
      </w:r>
      <w:r>
        <w:rPr>
          <w:bCs/>
        </w:rPr>
        <w:fldChar w:fldCharType="begin"/>
      </w:r>
      <w:r>
        <w:rPr>
          <w:bCs/>
        </w:rPr>
        <w:instrText xml:space="preserve"> PAGEREF _Toc117350535 \h </w:instrText>
      </w:r>
      <w:r>
        <w:rPr>
          <w:bCs/>
        </w:rPr>
        <w:fldChar w:fldCharType="separate"/>
      </w:r>
      <w:r>
        <w:rPr>
          <w:bCs/>
        </w:rPr>
        <w:t>89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"_Toc117350536" </w:instrText>
      </w:r>
      <w:r>
        <w:fldChar w:fldCharType="separate"/>
      </w:r>
      <w:r>
        <w:rPr>
          <w:rStyle w:val="47"/>
          <w:bCs/>
        </w:rPr>
        <w:t>18.4  单位工程验收</w:t>
      </w:r>
      <w:r>
        <w:rPr>
          <w:bCs/>
        </w:rPr>
        <w:tab/>
      </w:r>
      <w:r>
        <w:rPr>
          <w:bCs/>
        </w:rPr>
        <w:fldChar w:fldCharType="begin"/>
      </w:r>
      <w:r>
        <w:rPr>
          <w:bCs/>
        </w:rPr>
        <w:instrText xml:space="preserve"> PAGEREF _Toc117350536 \h </w:instrText>
      </w:r>
      <w:r>
        <w:rPr>
          <w:bCs/>
        </w:rPr>
        <w:fldChar w:fldCharType="separate"/>
      </w:r>
      <w:r>
        <w:rPr>
          <w:bCs/>
        </w:rPr>
        <w:t>90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"_Toc117350537" </w:instrText>
      </w:r>
      <w:r>
        <w:fldChar w:fldCharType="separate"/>
      </w:r>
      <w:r>
        <w:rPr>
          <w:rStyle w:val="47"/>
          <w:bCs/>
        </w:rPr>
        <w:t>18.5  施工期运行</w:t>
      </w:r>
      <w:r>
        <w:rPr>
          <w:bCs/>
        </w:rPr>
        <w:tab/>
      </w:r>
      <w:r>
        <w:rPr>
          <w:bCs/>
        </w:rPr>
        <w:fldChar w:fldCharType="begin"/>
      </w:r>
      <w:r>
        <w:rPr>
          <w:bCs/>
        </w:rPr>
        <w:instrText xml:space="preserve"> PAGEREF _Toc117350537 \h </w:instrText>
      </w:r>
      <w:r>
        <w:rPr>
          <w:bCs/>
        </w:rPr>
        <w:fldChar w:fldCharType="separate"/>
      </w:r>
      <w:r>
        <w:rPr>
          <w:bCs/>
        </w:rPr>
        <w:t>90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"_Toc117350538" </w:instrText>
      </w:r>
      <w:r>
        <w:fldChar w:fldCharType="separate"/>
      </w:r>
      <w:r>
        <w:rPr>
          <w:rStyle w:val="47"/>
          <w:bCs/>
        </w:rPr>
        <w:t>18.6  试运行</w:t>
      </w:r>
      <w:r>
        <w:rPr>
          <w:bCs/>
        </w:rPr>
        <w:tab/>
      </w:r>
      <w:r>
        <w:rPr>
          <w:bCs/>
        </w:rPr>
        <w:fldChar w:fldCharType="begin"/>
      </w:r>
      <w:r>
        <w:rPr>
          <w:bCs/>
        </w:rPr>
        <w:instrText xml:space="preserve"> PAGEREF _Toc117350538 \h </w:instrText>
      </w:r>
      <w:r>
        <w:rPr>
          <w:bCs/>
        </w:rPr>
        <w:fldChar w:fldCharType="separate"/>
      </w:r>
      <w:r>
        <w:rPr>
          <w:bCs/>
        </w:rPr>
        <w:t>90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"_Toc117350539" </w:instrText>
      </w:r>
      <w:r>
        <w:fldChar w:fldCharType="separate"/>
      </w:r>
      <w:r>
        <w:rPr>
          <w:rStyle w:val="47"/>
          <w:bCs/>
        </w:rPr>
        <w:t>18.7  竣工清场</w:t>
      </w:r>
      <w:r>
        <w:rPr>
          <w:bCs/>
        </w:rPr>
        <w:tab/>
      </w:r>
      <w:r>
        <w:rPr>
          <w:bCs/>
        </w:rPr>
        <w:fldChar w:fldCharType="begin"/>
      </w:r>
      <w:r>
        <w:rPr>
          <w:bCs/>
        </w:rPr>
        <w:instrText xml:space="preserve"> PAGEREF _Toc117350539 \h </w:instrText>
      </w:r>
      <w:r>
        <w:rPr>
          <w:bCs/>
        </w:rPr>
        <w:fldChar w:fldCharType="separate"/>
      </w:r>
      <w:r>
        <w:rPr>
          <w:bCs/>
        </w:rPr>
        <w:t>91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"_Toc117350540" </w:instrText>
      </w:r>
      <w:r>
        <w:fldChar w:fldCharType="separate"/>
      </w:r>
      <w:r>
        <w:rPr>
          <w:rStyle w:val="47"/>
          <w:bCs/>
        </w:rPr>
        <w:t>18.8  施工队伍的撤离</w:t>
      </w:r>
      <w:r>
        <w:rPr>
          <w:bCs/>
        </w:rPr>
        <w:tab/>
      </w:r>
      <w:r>
        <w:rPr>
          <w:bCs/>
        </w:rPr>
        <w:fldChar w:fldCharType="begin"/>
      </w:r>
      <w:r>
        <w:rPr>
          <w:bCs/>
        </w:rPr>
        <w:instrText xml:space="preserve"> PAGEREF _Toc117350540 \h </w:instrText>
      </w:r>
      <w:r>
        <w:rPr>
          <w:bCs/>
        </w:rPr>
        <w:fldChar w:fldCharType="separate"/>
      </w:r>
      <w:r>
        <w:rPr>
          <w:bCs/>
        </w:rPr>
        <w:t>91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"_Toc117350541" </w:instrText>
      </w:r>
      <w:r>
        <w:fldChar w:fldCharType="separate"/>
      </w:r>
      <w:r>
        <w:rPr>
          <w:rStyle w:val="47"/>
          <w:bCs/>
        </w:rPr>
        <w:t>18.9  中间验收</w:t>
      </w:r>
      <w:r>
        <w:rPr>
          <w:bCs/>
        </w:rPr>
        <w:tab/>
      </w:r>
      <w:r>
        <w:rPr>
          <w:bCs/>
        </w:rPr>
        <w:fldChar w:fldCharType="begin"/>
      </w:r>
      <w:r>
        <w:rPr>
          <w:bCs/>
        </w:rPr>
        <w:instrText xml:space="preserve"> PAGEREF _Toc117350541 \h </w:instrText>
      </w:r>
      <w:r>
        <w:rPr>
          <w:bCs/>
        </w:rPr>
        <w:fldChar w:fldCharType="separate"/>
      </w:r>
      <w:r>
        <w:rPr>
          <w:bCs/>
        </w:rPr>
        <w:t>91</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"_Toc117350542" </w:instrText>
      </w:r>
      <w:r>
        <w:fldChar w:fldCharType="separate"/>
      </w:r>
      <w:r>
        <w:rPr>
          <w:rStyle w:val="47"/>
          <w:b w:val="0"/>
        </w:rPr>
        <w:t>19.缺陷责任与保修责任</w:t>
      </w:r>
      <w:r>
        <w:rPr>
          <w:b w:val="0"/>
        </w:rPr>
        <w:tab/>
      </w:r>
      <w:r>
        <w:rPr>
          <w:b w:val="0"/>
        </w:rPr>
        <w:fldChar w:fldCharType="begin"/>
      </w:r>
      <w:r>
        <w:rPr>
          <w:b w:val="0"/>
        </w:rPr>
        <w:instrText xml:space="preserve"> PAGEREF _Toc117350542 \h </w:instrText>
      </w:r>
      <w:r>
        <w:rPr>
          <w:b w:val="0"/>
        </w:rPr>
        <w:fldChar w:fldCharType="separate"/>
      </w:r>
      <w:r>
        <w:rPr>
          <w:b w:val="0"/>
        </w:rPr>
        <w:t>92</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"_Toc117350543" </w:instrText>
      </w:r>
      <w:r>
        <w:fldChar w:fldCharType="separate"/>
      </w:r>
      <w:r>
        <w:rPr>
          <w:rStyle w:val="47"/>
          <w:bCs/>
        </w:rPr>
        <w:t>19.1  缺陷责任期的起算时间</w:t>
      </w:r>
      <w:r>
        <w:rPr>
          <w:bCs/>
        </w:rPr>
        <w:tab/>
      </w:r>
      <w:r>
        <w:rPr>
          <w:bCs/>
        </w:rPr>
        <w:fldChar w:fldCharType="begin"/>
      </w:r>
      <w:r>
        <w:rPr>
          <w:bCs/>
        </w:rPr>
        <w:instrText xml:space="preserve"> PAGEREF _Toc117350543 \h </w:instrText>
      </w:r>
      <w:r>
        <w:rPr>
          <w:bCs/>
        </w:rPr>
        <w:fldChar w:fldCharType="separate"/>
      </w:r>
      <w:r>
        <w:rPr>
          <w:bCs/>
        </w:rPr>
        <w:t>92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"_Toc117350544" </w:instrText>
      </w:r>
      <w:r>
        <w:fldChar w:fldCharType="separate"/>
      </w:r>
      <w:r>
        <w:rPr>
          <w:rStyle w:val="47"/>
          <w:bCs/>
        </w:rPr>
        <w:t>19.2  缺陷责任</w:t>
      </w:r>
      <w:r>
        <w:rPr>
          <w:bCs/>
        </w:rPr>
        <w:tab/>
      </w:r>
      <w:r>
        <w:rPr>
          <w:bCs/>
        </w:rPr>
        <w:fldChar w:fldCharType="begin"/>
      </w:r>
      <w:r>
        <w:rPr>
          <w:bCs/>
        </w:rPr>
        <w:instrText xml:space="preserve"> PAGEREF _Toc117350544 \h </w:instrText>
      </w:r>
      <w:r>
        <w:rPr>
          <w:bCs/>
        </w:rPr>
        <w:fldChar w:fldCharType="separate"/>
      </w:r>
      <w:r>
        <w:rPr>
          <w:bCs/>
        </w:rPr>
        <w:t>92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"_Toc117350545" </w:instrText>
      </w:r>
      <w:r>
        <w:fldChar w:fldCharType="separate"/>
      </w:r>
      <w:r>
        <w:rPr>
          <w:rStyle w:val="47"/>
          <w:bCs/>
        </w:rPr>
        <w:t>19.3  缺陷责任期的延长</w:t>
      </w:r>
      <w:r>
        <w:rPr>
          <w:bCs/>
        </w:rPr>
        <w:tab/>
      </w:r>
      <w:r>
        <w:rPr>
          <w:bCs/>
        </w:rPr>
        <w:fldChar w:fldCharType="begin"/>
      </w:r>
      <w:r>
        <w:rPr>
          <w:bCs/>
        </w:rPr>
        <w:instrText xml:space="preserve"> PAGEREF _Toc117350545 \h </w:instrText>
      </w:r>
      <w:r>
        <w:rPr>
          <w:bCs/>
        </w:rPr>
        <w:fldChar w:fldCharType="separate"/>
      </w:r>
      <w:r>
        <w:rPr>
          <w:bCs/>
        </w:rPr>
        <w:t>92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"_Toc117350546" </w:instrText>
      </w:r>
      <w:r>
        <w:fldChar w:fldCharType="separate"/>
      </w:r>
      <w:r>
        <w:rPr>
          <w:rStyle w:val="47"/>
          <w:bCs/>
        </w:rPr>
        <w:t>19.4  进一步试验和试运行</w:t>
      </w:r>
      <w:r>
        <w:rPr>
          <w:bCs/>
        </w:rPr>
        <w:tab/>
      </w:r>
      <w:r>
        <w:rPr>
          <w:bCs/>
        </w:rPr>
        <w:fldChar w:fldCharType="begin"/>
      </w:r>
      <w:r>
        <w:rPr>
          <w:bCs/>
        </w:rPr>
        <w:instrText xml:space="preserve"> PAGEREF _Toc117350546 \h </w:instrText>
      </w:r>
      <w:r>
        <w:rPr>
          <w:bCs/>
        </w:rPr>
        <w:fldChar w:fldCharType="separate"/>
      </w:r>
      <w:r>
        <w:rPr>
          <w:bCs/>
        </w:rPr>
        <w:t>92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"_Toc117350547" </w:instrText>
      </w:r>
      <w:r>
        <w:fldChar w:fldCharType="separate"/>
      </w:r>
      <w:r>
        <w:rPr>
          <w:rStyle w:val="47"/>
          <w:bCs/>
        </w:rPr>
        <w:t>19.5  承包人的进入权</w:t>
      </w:r>
      <w:r>
        <w:rPr>
          <w:bCs/>
        </w:rPr>
        <w:tab/>
      </w:r>
      <w:r>
        <w:rPr>
          <w:bCs/>
        </w:rPr>
        <w:fldChar w:fldCharType="begin"/>
      </w:r>
      <w:r>
        <w:rPr>
          <w:bCs/>
        </w:rPr>
        <w:instrText xml:space="preserve"> PAGEREF _Toc117350547 \h </w:instrText>
      </w:r>
      <w:r>
        <w:rPr>
          <w:bCs/>
        </w:rPr>
        <w:fldChar w:fldCharType="separate"/>
      </w:r>
      <w:r>
        <w:rPr>
          <w:bCs/>
        </w:rPr>
        <w:t>93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"_Toc117350548" </w:instrText>
      </w:r>
      <w:r>
        <w:fldChar w:fldCharType="separate"/>
      </w:r>
      <w:r>
        <w:rPr>
          <w:rStyle w:val="47"/>
          <w:bCs/>
        </w:rPr>
        <w:t>19.6  缺陷责任期终止证书</w:t>
      </w:r>
      <w:r>
        <w:rPr>
          <w:bCs/>
        </w:rPr>
        <w:tab/>
      </w:r>
      <w:r>
        <w:rPr>
          <w:bCs/>
        </w:rPr>
        <w:fldChar w:fldCharType="begin"/>
      </w:r>
      <w:r>
        <w:rPr>
          <w:bCs/>
        </w:rPr>
        <w:instrText xml:space="preserve"> PAGEREF _Toc117350548 \h </w:instrText>
      </w:r>
      <w:r>
        <w:rPr>
          <w:bCs/>
        </w:rPr>
        <w:fldChar w:fldCharType="separate"/>
      </w:r>
      <w:r>
        <w:rPr>
          <w:bCs/>
        </w:rPr>
        <w:t>93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"_Toc117350549" </w:instrText>
      </w:r>
      <w:r>
        <w:fldChar w:fldCharType="separate"/>
      </w:r>
      <w:r>
        <w:rPr>
          <w:rStyle w:val="47"/>
          <w:bCs/>
        </w:rPr>
        <w:t>19.7  保修责任</w:t>
      </w:r>
      <w:r>
        <w:rPr>
          <w:bCs/>
        </w:rPr>
        <w:tab/>
      </w:r>
      <w:r>
        <w:rPr>
          <w:bCs/>
        </w:rPr>
        <w:fldChar w:fldCharType="begin"/>
      </w:r>
      <w:r>
        <w:rPr>
          <w:bCs/>
        </w:rPr>
        <w:instrText xml:space="preserve"> PAGEREF _Toc117350549 \h </w:instrText>
      </w:r>
      <w:r>
        <w:rPr>
          <w:bCs/>
        </w:rPr>
        <w:fldChar w:fldCharType="separate"/>
      </w:r>
      <w:r>
        <w:rPr>
          <w:bCs/>
        </w:rPr>
        <w:t>93</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"_Toc117350550" </w:instrText>
      </w:r>
      <w:r>
        <w:fldChar w:fldCharType="separate"/>
      </w:r>
      <w:r>
        <w:rPr>
          <w:rStyle w:val="47"/>
          <w:b w:val="0"/>
        </w:rPr>
        <w:t>20.保险</w:t>
      </w:r>
      <w:r>
        <w:rPr>
          <w:b w:val="0"/>
        </w:rPr>
        <w:tab/>
      </w:r>
      <w:r>
        <w:rPr>
          <w:b w:val="0"/>
        </w:rPr>
        <w:fldChar w:fldCharType="begin"/>
      </w:r>
      <w:r>
        <w:rPr>
          <w:b w:val="0"/>
        </w:rPr>
        <w:instrText xml:space="preserve"> PAGEREF _Toc117350550 \h </w:instrText>
      </w:r>
      <w:r>
        <w:rPr>
          <w:b w:val="0"/>
        </w:rPr>
        <w:fldChar w:fldCharType="separate"/>
      </w:r>
      <w:r>
        <w:rPr>
          <w:b w:val="0"/>
        </w:rPr>
        <w:t>93</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"_Toc117350551" </w:instrText>
      </w:r>
      <w:r>
        <w:fldChar w:fldCharType="separate"/>
      </w:r>
      <w:r>
        <w:rPr>
          <w:rStyle w:val="47"/>
          <w:bCs/>
        </w:rPr>
        <w:t>20.1  工程保险</w:t>
      </w:r>
      <w:r>
        <w:rPr>
          <w:bCs/>
        </w:rPr>
        <w:tab/>
      </w:r>
      <w:r>
        <w:rPr>
          <w:bCs/>
        </w:rPr>
        <w:fldChar w:fldCharType="begin"/>
      </w:r>
      <w:r>
        <w:rPr>
          <w:bCs/>
        </w:rPr>
        <w:instrText xml:space="preserve"> PAGEREF _Toc117350551 \h </w:instrText>
      </w:r>
      <w:r>
        <w:rPr>
          <w:bCs/>
        </w:rPr>
        <w:fldChar w:fldCharType="separate"/>
      </w:r>
      <w:r>
        <w:rPr>
          <w:bCs/>
        </w:rPr>
        <w:t>93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"_Toc117350552" </w:instrText>
      </w:r>
      <w:r>
        <w:fldChar w:fldCharType="separate"/>
      </w:r>
      <w:r>
        <w:rPr>
          <w:rStyle w:val="47"/>
          <w:bCs/>
        </w:rPr>
        <w:t>20.2  人员工伤事故的保险</w:t>
      </w:r>
      <w:r>
        <w:rPr>
          <w:bCs/>
        </w:rPr>
        <w:tab/>
      </w:r>
      <w:r>
        <w:rPr>
          <w:bCs/>
        </w:rPr>
        <w:fldChar w:fldCharType="begin"/>
      </w:r>
      <w:r>
        <w:rPr>
          <w:bCs/>
        </w:rPr>
        <w:instrText xml:space="preserve"> PAGEREF _Toc117350552 \h </w:instrText>
      </w:r>
      <w:r>
        <w:rPr>
          <w:bCs/>
        </w:rPr>
        <w:fldChar w:fldCharType="separate"/>
      </w:r>
      <w:r>
        <w:rPr>
          <w:bCs/>
        </w:rPr>
        <w:t>93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"_Toc117350553" </w:instrText>
      </w:r>
      <w:r>
        <w:fldChar w:fldCharType="separate"/>
      </w:r>
      <w:r>
        <w:rPr>
          <w:rStyle w:val="47"/>
          <w:bCs/>
        </w:rPr>
        <w:t>20.3  人身意外伤害险</w:t>
      </w:r>
      <w:r>
        <w:rPr>
          <w:bCs/>
        </w:rPr>
        <w:tab/>
      </w:r>
      <w:r>
        <w:rPr>
          <w:bCs/>
        </w:rPr>
        <w:fldChar w:fldCharType="begin"/>
      </w:r>
      <w:r>
        <w:rPr>
          <w:bCs/>
        </w:rPr>
        <w:instrText xml:space="preserve"> PAGEREF _Toc117350553 \h </w:instrText>
      </w:r>
      <w:r>
        <w:rPr>
          <w:bCs/>
        </w:rPr>
        <w:fldChar w:fldCharType="separate"/>
      </w:r>
      <w:r>
        <w:rPr>
          <w:bCs/>
        </w:rPr>
        <w:t>94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"_Toc117350554" </w:instrText>
      </w:r>
      <w:r>
        <w:fldChar w:fldCharType="separate"/>
      </w:r>
      <w:r>
        <w:rPr>
          <w:rStyle w:val="47"/>
          <w:bCs/>
        </w:rPr>
        <w:t>20.4  第三者责任险</w:t>
      </w:r>
      <w:r>
        <w:rPr>
          <w:bCs/>
        </w:rPr>
        <w:tab/>
      </w:r>
      <w:r>
        <w:rPr>
          <w:bCs/>
        </w:rPr>
        <w:fldChar w:fldCharType="begin"/>
      </w:r>
      <w:r>
        <w:rPr>
          <w:bCs/>
        </w:rPr>
        <w:instrText xml:space="preserve"> PAGEREF _Toc117350554 \h </w:instrText>
      </w:r>
      <w:r>
        <w:rPr>
          <w:bCs/>
        </w:rPr>
        <w:fldChar w:fldCharType="separate"/>
      </w:r>
      <w:r>
        <w:rPr>
          <w:bCs/>
        </w:rPr>
        <w:t>94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"_Toc117350555" </w:instrText>
      </w:r>
      <w:r>
        <w:fldChar w:fldCharType="separate"/>
      </w:r>
      <w:r>
        <w:rPr>
          <w:rStyle w:val="47"/>
          <w:bCs/>
        </w:rPr>
        <w:t>20.5  其他保险</w:t>
      </w:r>
      <w:r>
        <w:rPr>
          <w:bCs/>
        </w:rPr>
        <w:tab/>
      </w:r>
      <w:r>
        <w:rPr>
          <w:bCs/>
        </w:rPr>
        <w:fldChar w:fldCharType="begin"/>
      </w:r>
      <w:r>
        <w:rPr>
          <w:bCs/>
        </w:rPr>
        <w:instrText xml:space="preserve"> PAGEREF _Toc117350555 \h </w:instrText>
      </w:r>
      <w:r>
        <w:rPr>
          <w:bCs/>
        </w:rPr>
        <w:fldChar w:fldCharType="separate"/>
      </w:r>
      <w:r>
        <w:rPr>
          <w:bCs/>
        </w:rPr>
        <w:t>94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"_Toc117350556" </w:instrText>
      </w:r>
      <w:r>
        <w:fldChar w:fldCharType="separate"/>
      </w:r>
      <w:r>
        <w:rPr>
          <w:rStyle w:val="47"/>
          <w:bCs/>
        </w:rPr>
        <w:t>20.6  对各项保险的一般要求</w:t>
      </w:r>
      <w:r>
        <w:rPr>
          <w:bCs/>
        </w:rPr>
        <w:tab/>
      </w:r>
      <w:r>
        <w:rPr>
          <w:bCs/>
        </w:rPr>
        <w:fldChar w:fldCharType="begin"/>
      </w:r>
      <w:r>
        <w:rPr>
          <w:bCs/>
        </w:rPr>
        <w:instrText xml:space="preserve"> PAGEREF _Toc117350556 \h </w:instrText>
      </w:r>
      <w:r>
        <w:rPr>
          <w:bCs/>
        </w:rPr>
        <w:fldChar w:fldCharType="separate"/>
      </w:r>
      <w:r>
        <w:rPr>
          <w:bCs/>
        </w:rPr>
        <w:t>94</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"_Toc117350557" </w:instrText>
      </w:r>
      <w:r>
        <w:fldChar w:fldCharType="separate"/>
      </w:r>
      <w:r>
        <w:rPr>
          <w:rStyle w:val="47"/>
          <w:b w:val="0"/>
        </w:rPr>
        <w:t>21.不可抗力</w:t>
      </w:r>
      <w:r>
        <w:rPr>
          <w:b w:val="0"/>
        </w:rPr>
        <w:tab/>
      </w:r>
      <w:r>
        <w:rPr>
          <w:b w:val="0"/>
        </w:rPr>
        <w:fldChar w:fldCharType="begin"/>
      </w:r>
      <w:r>
        <w:rPr>
          <w:b w:val="0"/>
        </w:rPr>
        <w:instrText xml:space="preserve"> PAGEREF _Toc117350557 \h </w:instrText>
      </w:r>
      <w:r>
        <w:rPr>
          <w:b w:val="0"/>
        </w:rPr>
        <w:fldChar w:fldCharType="separate"/>
      </w:r>
      <w:r>
        <w:rPr>
          <w:b w:val="0"/>
        </w:rPr>
        <w:t>95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"_Toc117350558" </w:instrText>
      </w:r>
      <w:r>
        <w:fldChar w:fldCharType="separate"/>
      </w:r>
      <w:r>
        <w:rPr>
          <w:rStyle w:val="47"/>
          <w:bCs/>
        </w:rPr>
        <w:t>21.1  不可抗力的确认</w:t>
      </w:r>
      <w:r>
        <w:rPr>
          <w:bCs/>
        </w:rPr>
        <w:tab/>
      </w:r>
      <w:r>
        <w:rPr>
          <w:bCs/>
        </w:rPr>
        <w:fldChar w:fldCharType="begin"/>
      </w:r>
      <w:r>
        <w:rPr>
          <w:bCs/>
        </w:rPr>
        <w:instrText xml:space="preserve"> PAGEREF _Toc117350558 \h </w:instrText>
      </w:r>
      <w:r>
        <w:rPr>
          <w:bCs/>
        </w:rPr>
        <w:fldChar w:fldCharType="separate"/>
      </w:r>
      <w:r>
        <w:rPr>
          <w:bCs/>
        </w:rPr>
        <w:t>95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"_Toc117350559" </w:instrText>
      </w:r>
      <w:r>
        <w:fldChar w:fldCharType="separate"/>
      </w:r>
      <w:r>
        <w:rPr>
          <w:rStyle w:val="47"/>
          <w:bCs/>
        </w:rPr>
        <w:t>21.2  不可抗力的通知</w:t>
      </w:r>
      <w:r>
        <w:rPr>
          <w:bCs/>
        </w:rPr>
        <w:tab/>
      </w:r>
      <w:r>
        <w:rPr>
          <w:bCs/>
        </w:rPr>
        <w:fldChar w:fldCharType="begin"/>
      </w:r>
      <w:r>
        <w:rPr>
          <w:bCs/>
        </w:rPr>
        <w:instrText xml:space="preserve"> PAGEREF _Toc117350559 \h </w:instrText>
      </w:r>
      <w:r>
        <w:rPr>
          <w:bCs/>
        </w:rPr>
        <w:fldChar w:fldCharType="separate"/>
      </w:r>
      <w:r>
        <w:rPr>
          <w:bCs/>
        </w:rPr>
        <w:t>95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"_Toc117350560" </w:instrText>
      </w:r>
      <w:r>
        <w:fldChar w:fldCharType="separate"/>
      </w:r>
      <w:r>
        <w:rPr>
          <w:rStyle w:val="47"/>
          <w:bCs/>
        </w:rPr>
        <w:t>21.3  不可抗力后果及其处理</w:t>
      </w:r>
      <w:r>
        <w:rPr>
          <w:bCs/>
        </w:rPr>
        <w:tab/>
      </w:r>
      <w:r>
        <w:rPr>
          <w:bCs/>
        </w:rPr>
        <w:fldChar w:fldCharType="begin"/>
      </w:r>
      <w:r>
        <w:rPr>
          <w:bCs/>
        </w:rPr>
        <w:instrText xml:space="preserve"> PAGEREF _Toc117350560 \h </w:instrText>
      </w:r>
      <w:r>
        <w:rPr>
          <w:bCs/>
        </w:rPr>
        <w:fldChar w:fldCharType="separate"/>
      </w:r>
      <w:r>
        <w:rPr>
          <w:bCs/>
        </w:rPr>
        <w:t>95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"_Toc117350561" </w:instrText>
      </w:r>
      <w:r>
        <w:fldChar w:fldCharType="separate"/>
      </w:r>
      <w:r>
        <w:rPr>
          <w:rStyle w:val="47"/>
          <w:b w:val="0"/>
        </w:rPr>
        <w:t>22.违约</w:t>
      </w:r>
      <w:r>
        <w:rPr>
          <w:b w:val="0"/>
        </w:rPr>
        <w:tab/>
      </w:r>
      <w:r>
        <w:rPr>
          <w:b w:val="0"/>
        </w:rPr>
        <w:fldChar w:fldCharType="begin"/>
      </w:r>
      <w:r>
        <w:rPr>
          <w:b w:val="0"/>
        </w:rPr>
        <w:instrText xml:space="preserve"> PAGEREF _Toc117350561 \h </w:instrText>
      </w:r>
      <w:r>
        <w:rPr>
          <w:b w:val="0"/>
        </w:rPr>
        <w:fldChar w:fldCharType="separate"/>
      </w:r>
      <w:r>
        <w:rPr>
          <w:b w:val="0"/>
        </w:rPr>
        <w:t>96</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"_Toc117350562" </w:instrText>
      </w:r>
      <w:r>
        <w:fldChar w:fldCharType="separate"/>
      </w:r>
      <w:r>
        <w:rPr>
          <w:rStyle w:val="47"/>
          <w:bCs/>
        </w:rPr>
        <w:t>22.1  承包人违约</w:t>
      </w:r>
      <w:r>
        <w:rPr>
          <w:bCs/>
        </w:rPr>
        <w:tab/>
      </w:r>
      <w:r>
        <w:rPr>
          <w:bCs/>
        </w:rPr>
        <w:fldChar w:fldCharType="begin"/>
      </w:r>
      <w:r>
        <w:rPr>
          <w:bCs/>
        </w:rPr>
        <w:instrText xml:space="preserve"> PAGEREF _Toc117350562 \h </w:instrText>
      </w:r>
      <w:r>
        <w:rPr>
          <w:bCs/>
        </w:rPr>
        <w:fldChar w:fldCharType="separate"/>
      </w:r>
      <w:r>
        <w:rPr>
          <w:bCs/>
        </w:rPr>
        <w:t>96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"_Toc117350563" </w:instrText>
      </w:r>
      <w:r>
        <w:fldChar w:fldCharType="separate"/>
      </w:r>
      <w:r>
        <w:rPr>
          <w:rStyle w:val="47"/>
          <w:bCs/>
        </w:rPr>
        <w:t>22.2  发包人违约</w:t>
      </w:r>
      <w:r>
        <w:rPr>
          <w:bCs/>
        </w:rPr>
        <w:tab/>
      </w:r>
      <w:r>
        <w:rPr>
          <w:bCs/>
        </w:rPr>
        <w:fldChar w:fldCharType="begin"/>
      </w:r>
      <w:r>
        <w:rPr>
          <w:bCs/>
        </w:rPr>
        <w:instrText xml:space="preserve"> PAGEREF _Toc117350563 \h </w:instrText>
      </w:r>
      <w:r>
        <w:rPr>
          <w:bCs/>
        </w:rPr>
        <w:fldChar w:fldCharType="separate"/>
      </w:r>
      <w:r>
        <w:rPr>
          <w:bCs/>
        </w:rPr>
        <w:t>97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"_Toc117350564" </w:instrText>
      </w:r>
      <w:r>
        <w:fldChar w:fldCharType="separate"/>
      </w:r>
      <w:r>
        <w:rPr>
          <w:rStyle w:val="47"/>
          <w:bCs/>
        </w:rPr>
        <w:t>22.3  第三人造成的违约</w:t>
      </w:r>
      <w:r>
        <w:rPr>
          <w:bCs/>
        </w:rPr>
        <w:tab/>
      </w:r>
      <w:r>
        <w:rPr>
          <w:bCs/>
        </w:rPr>
        <w:fldChar w:fldCharType="begin"/>
      </w:r>
      <w:r>
        <w:rPr>
          <w:bCs/>
        </w:rPr>
        <w:instrText xml:space="preserve"> PAGEREF _Toc117350564 \h </w:instrText>
      </w:r>
      <w:r>
        <w:rPr>
          <w:bCs/>
        </w:rPr>
        <w:fldChar w:fldCharType="separate"/>
      </w:r>
      <w:r>
        <w:rPr>
          <w:bCs/>
        </w:rPr>
        <w:t>98</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"_Toc117350565" </w:instrText>
      </w:r>
      <w:r>
        <w:fldChar w:fldCharType="separate"/>
      </w:r>
      <w:r>
        <w:rPr>
          <w:rStyle w:val="47"/>
          <w:b w:val="0"/>
        </w:rPr>
        <w:t>23.索赔</w:t>
      </w:r>
      <w:r>
        <w:rPr>
          <w:b w:val="0"/>
        </w:rPr>
        <w:tab/>
      </w:r>
      <w:r>
        <w:rPr>
          <w:b w:val="0"/>
        </w:rPr>
        <w:fldChar w:fldCharType="begin"/>
      </w:r>
      <w:r>
        <w:rPr>
          <w:b w:val="0"/>
        </w:rPr>
        <w:instrText xml:space="preserve"> PAGEREF _Toc117350565 \h </w:instrText>
      </w:r>
      <w:r>
        <w:rPr>
          <w:b w:val="0"/>
        </w:rPr>
        <w:fldChar w:fldCharType="separate"/>
      </w:r>
      <w:r>
        <w:rPr>
          <w:b w:val="0"/>
        </w:rPr>
        <w:t>99</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"_Toc117350566" </w:instrText>
      </w:r>
      <w:r>
        <w:fldChar w:fldCharType="separate"/>
      </w:r>
      <w:r>
        <w:rPr>
          <w:rStyle w:val="47"/>
          <w:bCs/>
        </w:rPr>
        <w:t>23.1  承包人索赔的提出</w:t>
      </w:r>
      <w:r>
        <w:rPr>
          <w:bCs/>
        </w:rPr>
        <w:tab/>
      </w:r>
      <w:r>
        <w:rPr>
          <w:bCs/>
        </w:rPr>
        <w:fldChar w:fldCharType="begin"/>
      </w:r>
      <w:r>
        <w:rPr>
          <w:bCs/>
        </w:rPr>
        <w:instrText xml:space="preserve"> PAGEREF _Toc117350566 \h </w:instrText>
      </w:r>
      <w:r>
        <w:rPr>
          <w:bCs/>
        </w:rPr>
        <w:fldChar w:fldCharType="separate"/>
      </w:r>
      <w:r>
        <w:rPr>
          <w:bCs/>
        </w:rPr>
        <w:t>99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"_Toc117350567" </w:instrText>
      </w:r>
      <w:r>
        <w:fldChar w:fldCharType="separate"/>
      </w:r>
      <w:r>
        <w:rPr>
          <w:rStyle w:val="47"/>
          <w:bCs/>
        </w:rPr>
        <w:t>23.2  承包人索赔处理程序</w:t>
      </w:r>
      <w:r>
        <w:rPr>
          <w:bCs/>
        </w:rPr>
        <w:tab/>
      </w:r>
      <w:r>
        <w:rPr>
          <w:bCs/>
        </w:rPr>
        <w:fldChar w:fldCharType="begin"/>
      </w:r>
      <w:r>
        <w:rPr>
          <w:bCs/>
        </w:rPr>
        <w:instrText xml:space="preserve"> PAGEREF _Toc117350567 \h </w:instrText>
      </w:r>
      <w:r>
        <w:rPr>
          <w:bCs/>
        </w:rPr>
        <w:fldChar w:fldCharType="separate"/>
      </w:r>
      <w:r>
        <w:rPr>
          <w:bCs/>
        </w:rPr>
        <w:t>99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"_Toc117350568" </w:instrText>
      </w:r>
      <w:r>
        <w:fldChar w:fldCharType="separate"/>
      </w:r>
      <w:r>
        <w:rPr>
          <w:rStyle w:val="47"/>
          <w:bCs/>
        </w:rPr>
        <w:t>23.3  承包人提出索赔的期限</w:t>
      </w:r>
      <w:r>
        <w:rPr>
          <w:bCs/>
        </w:rPr>
        <w:tab/>
      </w:r>
      <w:r>
        <w:rPr>
          <w:bCs/>
        </w:rPr>
        <w:fldChar w:fldCharType="begin"/>
      </w:r>
      <w:r>
        <w:rPr>
          <w:bCs/>
        </w:rPr>
        <w:instrText xml:space="preserve"> PAGEREF _Toc117350568 \h </w:instrText>
      </w:r>
      <w:r>
        <w:rPr>
          <w:bCs/>
        </w:rPr>
        <w:fldChar w:fldCharType="separate"/>
      </w:r>
      <w:r>
        <w:rPr>
          <w:bCs/>
        </w:rPr>
        <w:t>99</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"_Toc117350569" </w:instrText>
      </w:r>
      <w:r>
        <w:fldChar w:fldCharType="separate"/>
      </w:r>
      <w:r>
        <w:rPr>
          <w:rStyle w:val="47"/>
          <w:bCs/>
        </w:rPr>
        <w:t>23.4  发包人的索赔</w:t>
      </w:r>
      <w:r>
        <w:rPr>
          <w:bCs/>
        </w:rPr>
        <w:tab/>
      </w:r>
      <w:r>
        <w:rPr>
          <w:bCs/>
        </w:rPr>
        <w:fldChar w:fldCharType="begin"/>
      </w:r>
      <w:r>
        <w:rPr>
          <w:bCs/>
        </w:rPr>
        <w:instrText xml:space="preserve"> PAGEREF _Toc117350569 \h </w:instrText>
      </w:r>
      <w:r>
        <w:rPr>
          <w:bCs/>
        </w:rPr>
        <w:fldChar w:fldCharType="separate"/>
      </w:r>
      <w:r>
        <w:rPr>
          <w:bCs/>
        </w:rPr>
        <w:t>99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"_Toc117350570" </w:instrText>
      </w:r>
      <w:r>
        <w:fldChar w:fldCharType="separate"/>
      </w:r>
      <w:r>
        <w:rPr>
          <w:rStyle w:val="47"/>
          <w:b w:val="0"/>
        </w:rPr>
        <w:t>24.争议的解决</w:t>
      </w:r>
      <w:r>
        <w:rPr>
          <w:b w:val="0"/>
        </w:rPr>
        <w:tab/>
      </w:r>
      <w:r>
        <w:rPr>
          <w:b w:val="0"/>
        </w:rPr>
        <w:fldChar w:fldCharType="begin"/>
      </w:r>
      <w:r>
        <w:rPr>
          <w:b w:val="0"/>
        </w:rPr>
        <w:instrText xml:space="preserve"> PAGEREF _Toc117350570 \h </w:instrText>
      </w:r>
      <w:r>
        <w:rPr>
          <w:b w:val="0"/>
        </w:rPr>
        <w:fldChar w:fldCharType="separate"/>
      </w:r>
      <w:r>
        <w:rPr>
          <w:b w:val="0"/>
        </w:rPr>
        <w:t>100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"_Toc117350571" </w:instrText>
      </w:r>
      <w:r>
        <w:fldChar w:fldCharType="separate"/>
      </w:r>
      <w:r>
        <w:rPr>
          <w:rStyle w:val="47"/>
          <w:bCs/>
        </w:rPr>
        <w:t>24.1  争议的解决方式</w:t>
      </w:r>
      <w:r>
        <w:rPr>
          <w:bCs/>
        </w:rPr>
        <w:tab/>
      </w:r>
      <w:r>
        <w:rPr>
          <w:bCs/>
        </w:rPr>
        <w:fldChar w:fldCharType="begin"/>
      </w:r>
      <w:r>
        <w:rPr>
          <w:bCs/>
        </w:rPr>
        <w:instrText xml:space="preserve"> PAGEREF _Toc117350571 \h </w:instrText>
      </w:r>
      <w:r>
        <w:rPr>
          <w:bCs/>
        </w:rPr>
        <w:fldChar w:fldCharType="separate"/>
      </w:r>
      <w:r>
        <w:rPr>
          <w:bCs/>
        </w:rPr>
        <w:t>100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"_Toc117350572" </w:instrText>
      </w:r>
      <w:r>
        <w:fldChar w:fldCharType="separate"/>
      </w:r>
      <w:r>
        <w:rPr>
          <w:rStyle w:val="47"/>
          <w:bCs/>
        </w:rPr>
        <w:t>24.2  友好解决</w:t>
      </w:r>
      <w:r>
        <w:rPr>
          <w:bCs/>
        </w:rPr>
        <w:tab/>
      </w:r>
      <w:r>
        <w:rPr>
          <w:bCs/>
        </w:rPr>
        <w:fldChar w:fldCharType="begin"/>
      </w:r>
      <w:r>
        <w:rPr>
          <w:bCs/>
        </w:rPr>
        <w:instrText xml:space="preserve"> PAGEREF _Toc117350572 \h </w:instrText>
      </w:r>
      <w:r>
        <w:rPr>
          <w:bCs/>
        </w:rPr>
        <w:fldChar w:fldCharType="separate"/>
      </w:r>
      <w:r>
        <w:rPr>
          <w:bCs/>
        </w:rPr>
        <w:t>100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"_Toc117350573" </w:instrText>
      </w:r>
      <w:r>
        <w:fldChar w:fldCharType="separate"/>
      </w:r>
      <w:r>
        <w:rPr>
          <w:rStyle w:val="47"/>
          <w:bCs/>
        </w:rPr>
        <w:t>24.3  争议评审</w:t>
      </w:r>
      <w:r>
        <w:rPr>
          <w:bCs/>
        </w:rPr>
        <w:tab/>
      </w:r>
      <w:r>
        <w:rPr>
          <w:bCs/>
        </w:rPr>
        <w:fldChar w:fldCharType="begin"/>
      </w:r>
      <w:r>
        <w:rPr>
          <w:bCs/>
        </w:rPr>
        <w:instrText xml:space="preserve"> PAGEREF _Toc117350573 \h </w:instrText>
      </w:r>
      <w:r>
        <w:rPr>
          <w:bCs/>
        </w:rPr>
        <w:fldChar w:fldCharType="separate"/>
      </w:r>
      <w:r>
        <w:rPr>
          <w:bCs/>
        </w:rPr>
        <w:t>100</w:t>
      </w:r>
      <w:r>
        <w:rPr>
          <w:bCs/>
        </w:rPr>
        <w:fldChar w:fldCharType="end"/>
      </w:r>
      <w:r>
        <w:rPr>
          <w:bCs/>
        </w:rPr>
        <w:fldChar w:fldCharType="end"/>
      </w:r>
    </w:p>
    <w:p>
      <w:pPr>
        <w:pStyle w:val="29"/>
        <w:rPr>
          <w:rFonts w:asciiTheme="minorHAnsi" w:hAnsiTheme="minorHAnsi" w:eastAsiaTheme="minorEastAsia" w:cstheme="minorBidi"/>
          <w:caps w:val="0"/>
          <w:szCs w:val="22"/>
        </w:rPr>
      </w:pPr>
      <w:r>
        <w:fldChar w:fldCharType="begin"/>
      </w:r>
      <w:r>
        <w:instrText xml:space="preserve"> HYPERLINK \l "_Toc117350574" </w:instrText>
      </w:r>
      <w:r>
        <w:fldChar w:fldCharType="separate"/>
      </w:r>
      <w:r>
        <w:rPr>
          <w:rStyle w:val="47"/>
        </w:rPr>
        <w:t>第五章  技术标准和要求通用部分</w:t>
      </w:r>
      <w:r>
        <w:tab/>
      </w:r>
      <w:r>
        <w:fldChar w:fldCharType="begin"/>
      </w:r>
      <w:r>
        <w:instrText xml:space="preserve"> PAGEREF _Toc117350574 \h </w:instrText>
      </w:r>
      <w:r>
        <w:fldChar w:fldCharType="separate"/>
      </w:r>
      <w:r>
        <w:t>103</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"_Toc117350575" </w:instrText>
      </w:r>
      <w:r>
        <w:fldChar w:fldCharType="separate"/>
      </w:r>
      <w:r>
        <w:rPr>
          <w:rStyle w:val="47"/>
          <w:b w:val="0"/>
        </w:rPr>
        <w:t>1.工程说明</w:t>
      </w:r>
      <w:r>
        <w:rPr>
          <w:b w:val="0"/>
        </w:rPr>
        <w:tab/>
      </w:r>
      <w:r>
        <w:rPr>
          <w:b w:val="0"/>
        </w:rPr>
        <w:fldChar w:fldCharType="begin"/>
      </w:r>
      <w:r>
        <w:rPr>
          <w:b w:val="0"/>
        </w:rPr>
        <w:instrText xml:space="preserve"> PAGEREF _Toc117350575 \h </w:instrText>
      </w:r>
      <w:r>
        <w:rPr>
          <w:b w:val="0"/>
        </w:rPr>
        <w:fldChar w:fldCharType="separate"/>
      </w:r>
      <w:r>
        <w:rPr>
          <w:b w:val="0"/>
        </w:rPr>
        <w:t>105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"_Toc117350576" </w:instrText>
      </w:r>
      <w:r>
        <w:fldChar w:fldCharType="separate"/>
      </w:r>
      <w:r>
        <w:rPr>
          <w:rStyle w:val="47"/>
          <w:bCs/>
        </w:rPr>
        <w:t>1.1  工程概况</w:t>
      </w:r>
      <w:r>
        <w:rPr>
          <w:bCs/>
        </w:rPr>
        <w:tab/>
      </w:r>
      <w:r>
        <w:rPr>
          <w:bCs/>
        </w:rPr>
        <w:fldChar w:fldCharType="begin"/>
      </w:r>
      <w:r>
        <w:rPr>
          <w:bCs/>
        </w:rPr>
        <w:instrText xml:space="preserve"> PAGEREF _Toc117350576 \h </w:instrText>
      </w:r>
      <w:r>
        <w:rPr>
          <w:bCs/>
        </w:rPr>
        <w:fldChar w:fldCharType="separate"/>
      </w:r>
      <w:r>
        <w:rPr>
          <w:bCs/>
        </w:rPr>
        <w:t>105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"_Toc117350577" </w:instrText>
      </w:r>
      <w:r>
        <w:fldChar w:fldCharType="separate"/>
      </w:r>
      <w:r>
        <w:rPr>
          <w:rStyle w:val="47"/>
          <w:bCs/>
        </w:rPr>
        <w:t>1.2  现场条件和周围环境</w:t>
      </w:r>
      <w:r>
        <w:rPr>
          <w:bCs/>
        </w:rPr>
        <w:tab/>
      </w:r>
      <w:r>
        <w:rPr>
          <w:bCs/>
        </w:rPr>
        <w:fldChar w:fldCharType="begin"/>
      </w:r>
      <w:r>
        <w:rPr>
          <w:bCs/>
        </w:rPr>
        <w:instrText xml:space="preserve"> PAGEREF _Toc117350577 \h </w:instrText>
      </w:r>
      <w:r>
        <w:rPr>
          <w:bCs/>
        </w:rPr>
        <w:fldChar w:fldCharType="separate"/>
      </w:r>
      <w:r>
        <w:rPr>
          <w:bCs/>
        </w:rPr>
        <w:t>105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"_Toc117350578" </w:instrText>
      </w:r>
      <w:r>
        <w:fldChar w:fldCharType="separate"/>
      </w:r>
      <w:r>
        <w:rPr>
          <w:rStyle w:val="47"/>
          <w:bCs/>
        </w:rPr>
        <w:t>1.3  地质及水文资料</w:t>
      </w:r>
      <w:r>
        <w:rPr>
          <w:bCs/>
        </w:rPr>
        <w:tab/>
      </w:r>
      <w:r>
        <w:rPr>
          <w:bCs/>
        </w:rPr>
        <w:fldChar w:fldCharType="begin"/>
      </w:r>
      <w:r>
        <w:rPr>
          <w:bCs/>
        </w:rPr>
        <w:instrText xml:space="preserve"> PAGEREF _Toc117350578 \h </w:instrText>
      </w:r>
      <w:r>
        <w:rPr>
          <w:bCs/>
        </w:rPr>
        <w:fldChar w:fldCharType="separate"/>
      </w:r>
      <w:r>
        <w:rPr>
          <w:bCs/>
        </w:rPr>
        <w:t>105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"_Toc117350579" </w:instrText>
      </w:r>
      <w:r>
        <w:fldChar w:fldCharType="separate"/>
      </w:r>
      <w:r>
        <w:rPr>
          <w:rStyle w:val="47"/>
          <w:bCs/>
        </w:rPr>
        <w:t>1.4  资料和信息的使用</w:t>
      </w:r>
      <w:r>
        <w:rPr>
          <w:bCs/>
        </w:rPr>
        <w:tab/>
      </w:r>
      <w:r>
        <w:rPr>
          <w:bCs/>
        </w:rPr>
        <w:fldChar w:fldCharType="begin"/>
      </w:r>
      <w:r>
        <w:rPr>
          <w:bCs/>
        </w:rPr>
        <w:instrText xml:space="preserve"> PAGEREF _Toc117350579 \h </w:instrText>
      </w:r>
      <w:r>
        <w:rPr>
          <w:bCs/>
        </w:rPr>
        <w:fldChar w:fldCharType="separate"/>
      </w:r>
      <w:r>
        <w:rPr>
          <w:bCs/>
        </w:rPr>
        <w:t>105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"_Toc117350580" </w:instrText>
      </w:r>
      <w:r>
        <w:fldChar w:fldCharType="separate"/>
      </w:r>
      <w:r>
        <w:rPr>
          <w:rStyle w:val="47"/>
          <w:b w:val="0"/>
        </w:rPr>
        <w:t>2.承包范围</w:t>
      </w:r>
      <w:r>
        <w:rPr>
          <w:b w:val="0"/>
        </w:rPr>
        <w:tab/>
      </w:r>
      <w:r>
        <w:rPr>
          <w:b w:val="0"/>
        </w:rPr>
        <w:fldChar w:fldCharType="begin"/>
      </w:r>
      <w:r>
        <w:rPr>
          <w:b w:val="0"/>
        </w:rPr>
        <w:instrText xml:space="preserve"> PAGEREF _Toc117350580 \h </w:instrText>
      </w:r>
      <w:r>
        <w:rPr>
          <w:b w:val="0"/>
        </w:rPr>
        <w:fldChar w:fldCharType="separate"/>
      </w:r>
      <w:r>
        <w:rPr>
          <w:b w:val="0"/>
        </w:rPr>
        <w:t>105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"_Toc117350581" </w:instrText>
      </w:r>
      <w:r>
        <w:fldChar w:fldCharType="separate"/>
      </w:r>
      <w:r>
        <w:rPr>
          <w:rStyle w:val="47"/>
          <w:bCs/>
        </w:rPr>
        <w:t>2.1  承包范围</w:t>
      </w:r>
      <w:r>
        <w:rPr>
          <w:bCs/>
        </w:rPr>
        <w:tab/>
      </w:r>
      <w:r>
        <w:rPr>
          <w:bCs/>
        </w:rPr>
        <w:fldChar w:fldCharType="begin"/>
      </w:r>
      <w:r>
        <w:rPr>
          <w:bCs/>
        </w:rPr>
        <w:instrText xml:space="preserve"> PAGEREF _Toc117350581 \h </w:instrText>
      </w:r>
      <w:r>
        <w:rPr>
          <w:bCs/>
        </w:rPr>
        <w:fldChar w:fldCharType="separate"/>
      </w:r>
      <w:r>
        <w:rPr>
          <w:bCs/>
        </w:rPr>
        <w:t>105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"_Toc117350582" </w:instrText>
      </w:r>
      <w:r>
        <w:fldChar w:fldCharType="separate"/>
      </w:r>
      <w:r>
        <w:rPr>
          <w:rStyle w:val="47"/>
          <w:bCs/>
        </w:rPr>
        <w:t>2.2  发包人发包专业工程和发包人供应的材料和工程设备</w:t>
      </w:r>
      <w:r>
        <w:rPr>
          <w:bCs/>
        </w:rPr>
        <w:tab/>
      </w:r>
      <w:r>
        <w:rPr>
          <w:bCs/>
        </w:rPr>
        <w:fldChar w:fldCharType="begin"/>
      </w:r>
      <w:r>
        <w:rPr>
          <w:bCs/>
        </w:rPr>
        <w:instrText xml:space="preserve"> PAGEREF _Toc117350582 \h </w:instrText>
      </w:r>
      <w:r>
        <w:rPr>
          <w:bCs/>
        </w:rPr>
        <w:fldChar w:fldCharType="separate"/>
      </w:r>
      <w:r>
        <w:rPr>
          <w:bCs/>
        </w:rPr>
        <w:t>106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"_Toc117350583" </w:instrText>
      </w:r>
      <w:r>
        <w:fldChar w:fldCharType="separate"/>
      </w:r>
      <w:r>
        <w:rPr>
          <w:rStyle w:val="47"/>
          <w:bCs/>
        </w:rPr>
        <w:t>2.3  承包人与发包人发包专业工程承包人的工作界面</w:t>
      </w:r>
      <w:r>
        <w:rPr>
          <w:bCs/>
        </w:rPr>
        <w:tab/>
      </w:r>
      <w:r>
        <w:rPr>
          <w:bCs/>
        </w:rPr>
        <w:fldChar w:fldCharType="begin"/>
      </w:r>
      <w:r>
        <w:rPr>
          <w:bCs/>
        </w:rPr>
        <w:instrText xml:space="preserve"> PAGEREF _Toc117350583 \h </w:instrText>
      </w:r>
      <w:r>
        <w:rPr>
          <w:bCs/>
        </w:rPr>
        <w:fldChar w:fldCharType="separate"/>
      </w:r>
      <w:r>
        <w:rPr>
          <w:bCs/>
        </w:rPr>
        <w:t>106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"_Toc117350584" </w:instrText>
      </w:r>
      <w:r>
        <w:fldChar w:fldCharType="separate"/>
      </w:r>
      <w:r>
        <w:rPr>
          <w:rStyle w:val="47"/>
          <w:bCs/>
        </w:rPr>
        <w:t>2.4  承包人需要为发包人和监理人提供的现场办公条件和设施</w:t>
      </w:r>
      <w:r>
        <w:rPr>
          <w:bCs/>
        </w:rPr>
        <w:tab/>
      </w:r>
      <w:r>
        <w:rPr>
          <w:bCs/>
        </w:rPr>
        <w:fldChar w:fldCharType="begin"/>
      </w:r>
      <w:r>
        <w:rPr>
          <w:bCs/>
        </w:rPr>
        <w:instrText xml:space="preserve"> PAGEREF _Toc117350584 \h </w:instrText>
      </w:r>
      <w:r>
        <w:rPr>
          <w:bCs/>
        </w:rPr>
        <w:fldChar w:fldCharType="separate"/>
      </w:r>
      <w:r>
        <w:rPr>
          <w:bCs/>
        </w:rPr>
        <w:t>106</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"_Toc117350585" </w:instrText>
      </w:r>
      <w:r>
        <w:fldChar w:fldCharType="separate"/>
      </w:r>
      <w:r>
        <w:rPr>
          <w:rStyle w:val="47"/>
          <w:b w:val="0"/>
        </w:rPr>
        <w:t>3.工期要求</w:t>
      </w:r>
      <w:r>
        <w:rPr>
          <w:b w:val="0"/>
        </w:rPr>
        <w:tab/>
      </w:r>
      <w:r>
        <w:rPr>
          <w:b w:val="0"/>
        </w:rPr>
        <w:fldChar w:fldCharType="begin"/>
      </w:r>
      <w:r>
        <w:rPr>
          <w:b w:val="0"/>
        </w:rPr>
        <w:instrText xml:space="preserve"> PAGEREF _Toc117350585 \h </w:instrText>
      </w:r>
      <w:r>
        <w:rPr>
          <w:b w:val="0"/>
        </w:rPr>
        <w:fldChar w:fldCharType="separate"/>
      </w:r>
      <w:r>
        <w:rPr>
          <w:b w:val="0"/>
        </w:rPr>
        <w:t>107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"_Toc117350586" </w:instrText>
      </w:r>
      <w:r>
        <w:fldChar w:fldCharType="separate"/>
      </w:r>
      <w:r>
        <w:rPr>
          <w:rStyle w:val="47"/>
          <w:bCs/>
        </w:rPr>
        <w:t>3.1  合同工期</w:t>
      </w:r>
      <w:r>
        <w:rPr>
          <w:bCs/>
        </w:rPr>
        <w:tab/>
      </w:r>
      <w:r>
        <w:rPr>
          <w:bCs/>
        </w:rPr>
        <w:fldChar w:fldCharType="begin"/>
      </w:r>
      <w:r>
        <w:rPr>
          <w:bCs/>
        </w:rPr>
        <w:instrText xml:space="preserve"> PAGEREF _Toc117350586 \h </w:instrText>
      </w:r>
      <w:r>
        <w:rPr>
          <w:bCs/>
        </w:rPr>
        <w:fldChar w:fldCharType="separate"/>
      </w:r>
      <w:r>
        <w:rPr>
          <w:bCs/>
        </w:rPr>
        <w:t>107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"_Toc117350587" </w:instrText>
      </w:r>
      <w:r>
        <w:fldChar w:fldCharType="separate"/>
      </w:r>
      <w:r>
        <w:rPr>
          <w:rStyle w:val="47"/>
          <w:bCs/>
        </w:rPr>
        <w:t>3.2  关于工期的一般规定</w:t>
      </w:r>
      <w:r>
        <w:rPr>
          <w:bCs/>
        </w:rPr>
        <w:tab/>
      </w:r>
      <w:r>
        <w:rPr>
          <w:bCs/>
        </w:rPr>
        <w:fldChar w:fldCharType="begin"/>
      </w:r>
      <w:r>
        <w:rPr>
          <w:bCs/>
        </w:rPr>
        <w:instrText xml:space="preserve"> PAGEREF _Toc117350587 \h </w:instrText>
      </w:r>
      <w:r>
        <w:rPr>
          <w:bCs/>
        </w:rPr>
        <w:fldChar w:fldCharType="separate"/>
      </w:r>
      <w:r>
        <w:rPr>
          <w:bCs/>
        </w:rPr>
        <w:t>107</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"_Toc117350588" </w:instrText>
      </w:r>
      <w:r>
        <w:fldChar w:fldCharType="separate"/>
      </w:r>
      <w:r>
        <w:rPr>
          <w:rStyle w:val="47"/>
          <w:b w:val="0"/>
        </w:rPr>
        <w:t>4.质量要求</w:t>
      </w:r>
      <w:r>
        <w:rPr>
          <w:b w:val="0"/>
        </w:rPr>
        <w:tab/>
      </w:r>
      <w:r>
        <w:rPr>
          <w:b w:val="0"/>
        </w:rPr>
        <w:fldChar w:fldCharType="begin"/>
      </w:r>
      <w:r>
        <w:rPr>
          <w:b w:val="0"/>
        </w:rPr>
        <w:instrText xml:space="preserve"> PAGEREF _Toc117350588 \h </w:instrText>
      </w:r>
      <w:r>
        <w:rPr>
          <w:b w:val="0"/>
        </w:rPr>
        <w:fldChar w:fldCharType="separate"/>
      </w:r>
      <w:r>
        <w:rPr>
          <w:b w:val="0"/>
        </w:rPr>
        <w:t>107</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"_Toc117350589" </w:instrText>
      </w:r>
      <w:r>
        <w:fldChar w:fldCharType="separate"/>
      </w:r>
      <w:r>
        <w:rPr>
          <w:rStyle w:val="47"/>
          <w:bCs/>
        </w:rPr>
        <w:t>4.1  质量标准</w:t>
      </w:r>
      <w:r>
        <w:rPr>
          <w:bCs/>
        </w:rPr>
        <w:tab/>
      </w:r>
      <w:r>
        <w:rPr>
          <w:bCs/>
        </w:rPr>
        <w:fldChar w:fldCharType="begin"/>
      </w:r>
      <w:r>
        <w:rPr>
          <w:bCs/>
        </w:rPr>
        <w:instrText xml:space="preserve"> PAGEREF _Toc117350589 \h </w:instrText>
      </w:r>
      <w:r>
        <w:rPr>
          <w:bCs/>
        </w:rPr>
        <w:fldChar w:fldCharType="separate"/>
      </w:r>
      <w:r>
        <w:rPr>
          <w:bCs/>
        </w:rPr>
        <w:t>107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"_Toc117350590" </w:instrText>
      </w:r>
      <w:r>
        <w:fldChar w:fldCharType="separate"/>
      </w:r>
      <w:r>
        <w:rPr>
          <w:rStyle w:val="47"/>
          <w:bCs/>
        </w:rPr>
        <w:t>4.2  特殊质量要求</w:t>
      </w:r>
      <w:r>
        <w:rPr>
          <w:bCs/>
        </w:rPr>
        <w:tab/>
      </w:r>
      <w:r>
        <w:rPr>
          <w:bCs/>
        </w:rPr>
        <w:fldChar w:fldCharType="begin"/>
      </w:r>
      <w:r>
        <w:rPr>
          <w:bCs/>
        </w:rPr>
        <w:instrText xml:space="preserve"> PAGEREF _Toc117350590 \h </w:instrText>
      </w:r>
      <w:r>
        <w:rPr>
          <w:bCs/>
        </w:rPr>
        <w:fldChar w:fldCharType="separate"/>
      </w:r>
      <w:r>
        <w:rPr>
          <w:bCs/>
        </w:rPr>
        <w:t>107</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"_Toc117350591" </w:instrText>
      </w:r>
      <w:r>
        <w:fldChar w:fldCharType="separate"/>
      </w:r>
      <w:r>
        <w:rPr>
          <w:rStyle w:val="47"/>
          <w:b w:val="0"/>
        </w:rPr>
        <w:t>5.适用规范和标准</w:t>
      </w:r>
      <w:r>
        <w:rPr>
          <w:b w:val="0"/>
        </w:rPr>
        <w:tab/>
      </w:r>
      <w:r>
        <w:rPr>
          <w:b w:val="0"/>
        </w:rPr>
        <w:fldChar w:fldCharType="begin"/>
      </w:r>
      <w:r>
        <w:rPr>
          <w:b w:val="0"/>
        </w:rPr>
        <w:instrText xml:space="preserve"> PAGEREF _Toc117350591 \h </w:instrText>
      </w:r>
      <w:r>
        <w:rPr>
          <w:b w:val="0"/>
        </w:rPr>
        <w:fldChar w:fldCharType="separate"/>
      </w:r>
      <w:r>
        <w:rPr>
          <w:b w:val="0"/>
        </w:rPr>
        <w:t>107</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"_Toc117350592" </w:instrText>
      </w:r>
      <w:r>
        <w:fldChar w:fldCharType="separate"/>
      </w:r>
      <w:r>
        <w:rPr>
          <w:rStyle w:val="47"/>
          <w:b w:val="0"/>
        </w:rPr>
        <w:t>6.安全文明施工</w:t>
      </w:r>
      <w:r>
        <w:rPr>
          <w:b w:val="0"/>
        </w:rPr>
        <w:tab/>
      </w:r>
      <w:r>
        <w:rPr>
          <w:b w:val="0"/>
        </w:rPr>
        <w:fldChar w:fldCharType="begin"/>
      </w:r>
      <w:r>
        <w:rPr>
          <w:b w:val="0"/>
        </w:rPr>
        <w:instrText xml:space="preserve"> PAGEREF _Toc117350592 \h </w:instrText>
      </w:r>
      <w:r>
        <w:rPr>
          <w:b w:val="0"/>
        </w:rPr>
        <w:fldChar w:fldCharType="separate"/>
      </w:r>
      <w:r>
        <w:rPr>
          <w:b w:val="0"/>
        </w:rPr>
        <w:t>108</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"_Toc117350593" </w:instrText>
      </w:r>
      <w:r>
        <w:fldChar w:fldCharType="separate"/>
      </w:r>
      <w:r>
        <w:rPr>
          <w:rStyle w:val="47"/>
          <w:bCs/>
        </w:rPr>
        <w:t>6.1  安全防护</w:t>
      </w:r>
      <w:r>
        <w:rPr>
          <w:bCs/>
        </w:rPr>
        <w:tab/>
      </w:r>
      <w:r>
        <w:rPr>
          <w:bCs/>
        </w:rPr>
        <w:fldChar w:fldCharType="begin"/>
      </w:r>
      <w:r>
        <w:rPr>
          <w:bCs/>
        </w:rPr>
        <w:instrText xml:space="preserve"> PAGEREF _Toc117350593 \h </w:instrText>
      </w:r>
      <w:r>
        <w:rPr>
          <w:bCs/>
        </w:rPr>
        <w:fldChar w:fldCharType="separate"/>
      </w:r>
      <w:r>
        <w:rPr>
          <w:bCs/>
        </w:rPr>
        <w:t>108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"_Toc117350594" </w:instrText>
      </w:r>
      <w:r>
        <w:fldChar w:fldCharType="separate"/>
      </w:r>
      <w:r>
        <w:rPr>
          <w:rStyle w:val="47"/>
          <w:bCs/>
        </w:rPr>
        <w:t>6.2  临时消防</w:t>
      </w:r>
      <w:r>
        <w:rPr>
          <w:bCs/>
        </w:rPr>
        <w:tab/>
      </w:r>
      <w:r>
        <w:rPr>
          <w:bCs/>
        </w:rPr>
        <w:fldChar w:fldCharType="begin"/>
      </w:r>
      <w:r>
        <w:rPr>
          <w:bCs/>
        </w:rPr>
        <w:instrText xml:space="preserve"> PAGEREF _Toc117350594 \h </w:instrText>
      </w:r>
      <w:r>
        <w:rPr>
          <w:bCs/>
        </w:rPr>
        <w:fldChar w:fldCharType="separate"/>
      </w:r>
      <w:r>
        <w:rPr>
          <w:bCs/>
        </w:rPr>
        <w:t>110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"_Toc117350595" </w:instrText>
      </w:r>
      <w:r>
        <w:fldChar w:fldCharType="separate"/>
      </w:r>
      <w:r>
        <w:rPr>
          <w:rStyle w:val="47"/>
          <w:bCs/>
        </w:rPr>
        <w:t>6.3  临时供电</w:t>
      </w:r>
      <w:r>
        <w:rPr>
          <w:bCs/>
        </w:rPr>
        <w:tab/>
      </w:r>
      <w:r>
        <w:rPr>
          <w:bCs/>
        </w:rPr>
        <w:fldChar w:fldCharType="begin"/>
      </w:r>
      <w:r>
        <w:rPr>
          <w:bCs/>
        </w:rPr>
        <w:instrText xml:space="preserve"> PAGEREF _Toc117350595 \h </w:instrText>
      </w:r>
      <w:r>
        <w:rPr>
          <w:bCs/>
        </w:rPr>
        <w:fldChar w:fldCharType="separate"/>
      </w:r>
      <w:r>
        <w:rPr>
          <w:bCs/>
        </w:rPr>
        <w:t>111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"_Toc117350596" </w:instrText>
      </w:r>
      <w:r>
        <w:fldChar w:fldCharType="separate"/>
      </w:r>
      <w:r>
        <w:rPr>
          <w:rStyle w:val="47"/>
          <w:bCs/>
        </w:rPr>
        <w:t>6.4  劳动保护</w:t>
      </w:r>
      <w:r>
        <w:rPr>
          <w:bCs/>
        </w:rPr>
        <w:tab/>
      </w:r>
      <w:r>
        <w:rPr>
          <w:bCs/>
        </w:rPr>
        <w:fldChar w:fldCharType="begin"/>
      </w:r>
      <w:r>
        <w:rPr>
          <w:bCs/>
        </w:rPr>
        <w:instrText xml:space="preserve"> PAGEREF _Toc117350596 \h </w:instrText>
      </w:r>
      <w:r>
        <w:rPr>
          <w:bCs/>
        </w:rPr>
        <w:fldChar w:fldCharType="separate"/>
      </w:r>
      <w:r>
        <w:rPr>
          <w:bCs/>
        </w:rPr>
        <w:t>111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"_Toc117350597" </w:instrText>
      </w:r>
      <w:r>
        <w:fldChar w:fldCharType="separate"/>
      </w:r>
      <w:r>
        <w:rPr>
          <w:rStyle w:val="47"/>
          <w:bCs/>
        </w:rPr>
        <w:t>6.5  脚手架</w:t>
      </w:r>
      <w:r>
        <w:rPr>
          <w:bCs/>
        </w:rPr>
        <w:tab/>
      </w:r>
      <w:r>
        <w:rPr>
          <w:bCs/>
        </w:rPr>
        <w:fldChar w:fldCharType="begin"/>
      </w:r>
      <w:r>
        <w:rPr>
          <w:bCs/>
        </w:rPr>
        <w:instrText xml:space="preserve"> PAGEREF _Toc117350597 \h </w:instrText>
      </w:r>
      <w:r>
        <w:rPr>
          <w:bCs/>
        </w:rPr>
        <w:fldChar w:fldCharType="separate"/>
      </w:r>
      <w:r>
        <w:rPr>
          <w:bCs/>
        </w:rPr>
        <w:t>112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"_Toc117350598" </w:instrText>
      </w:r>
      <w:r>
        <w:fldChar w:fldCharType="separate"/>
      </w:r>
      <w:r>
        <w:rPr>
          <w:rStyle w:val="47"/>
          <w:bCs/>
        </w:rPr>
        <w:t>6.6  施工安全措施计划</w:t>
      </w:r>
      <w:r>
        <w:rPr>
          <w:bCs/>
        </w:rPr>
        <w:tab/>
      </w:r>
      <w:r>
        <w:rPr>
          <w:bCs/>
        </w:rPr>
        <w:fldChar w:fldCharType="begin"/>
      </w:r>
      <w:r>
        <w:rPr>
          <w:bCs/>
        </w:rPr>
        <w:instrText xml:space="preserve"> PAGEREF _Toc117350598 \h </w:instrText>
      </w:r>
      <w:r>
        <w:rPr>
          <w:bCs/>
        </w:rPr>
        <w:fldChar w:fldCharType="separate"/>
      </w:r>
      <w:r>
        <w:rPr>
          <w:bCs/>
        </w:rPr>
        <w:t>113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"_Toc117350599" </w:instrText>
      </w:r>
      <w:r>
        <w:fldChar w:fldCharType="separate"/>
      </w:r>
      <w:r>
        <w:rPr>
          <w:rStyle w:val="47"/>
          <w:bCs/>
        </w:rPr>
        <w:t>6.7  文明施工</w:t>
      </w:r>
      <w:r>
        <w:rPr>
          <w:bCs/>
        </w:rPr>
        <w:tab/>
      </w:r>
      <w:r>
        <w:rPr>
          <w:bCs/>
        </w:rPr>
        <w:fldChar w:fldCharType="begin"/>
      </w:r>
      <w:r>
        <w:rPr>
          <w:bCs/>
        </w:rPr>
        <w:instrText xml:space="preserve"> PAGEREF _Toc117350599 \h </w:instrText>
      </w:r>
      <w:r>
        <w:rPr>
          <w:bCs/>
        </w:rPr>
        <w:fldChar w:fldCharType="separate"/>
      </w:r>
      <w:r>
        <w:rPr>
          <w:bCs/>
        </w:rPr>
        <w:t>113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"_Toc117350600" </w:instrText>
      </w:r>
      <w:r>
        <w:fldChar w:fldCharType="separate"/>
      </w:r>
      <w:r>
        <w:rPr>
          <w:rStyle w:val="47"/>
          <w:bCs/>
        </w:rPr>
        <w:t>6.8  环境保护</w:t>
      </w:r>
      <w:r>
        <w:rPr>
          <w:bCs/>
        </w:rPr>
        <w:tab/>
      </w:r>
      <w:r>
        <w:rPr>
          <w:bCs/>
        </w:rPr>
        <w:fldChar w:fldCharType="begin"/>
      </w:r>
      <w:r>
        <w:rPr>
          <w:bCs/>
        </w:rPr>
        <w:instrText xml:space="preserve"> PAGEREF _Toc117350600 \h </w:instrText>
      </w:r>
      <w:r>
        <w:rPr>
          <w:bCs/>
        </w:rPr>
        <w:fldChar w:fldCharType="separate"/>
      </w:r>
      <w:r>
        <w:rPr>
          <w:bCs/>
        </w:rPr>
        <w:t>115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"_Toc117350601" </w:instrText>
      </w:r>
      <w:r>
        <w:fldChar w:fldCharType="separate"/>
      </w:r>
      <w:r>
        <w:rPr>
          <w:rStyle w:val="47"/>
          <w:bCs/>
        </w:rPr>
        <w:t>6.9  施工环保措施计划</w:t>
      </w:r>
      <w:r>
        <w:rPr>
          <w:bCs/>
        </w:rPr>
        <w:tab/>
      </w:r>
      <w:r>
        <w:rPr>
          <w:bCs/>
        </w:rPr>
        <w:fldChar w:fldCharType="begin"/>
      </w:r>
      <w:r>
        <w:rPr>
          <w:bCs/>
        </w:rPr>
        <w:instrText xml:space="preserve"> PAGEREF _Toc117350601 \h </w:instrText>
      </w:r>
      <w:r>
        <w:rPr>
          <w:bCs/>
        </w:rPr>
        <w:fldChar w:fldCharType="separate"/>
      </w:r>
      <w:r>
        <w:rPr>
          <w:bCs/>
        </w:rPr>
        <w:t>116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"_Toc117350602" </w:instrText>
      </w:r>
      <w:r>
        <w:fldChar w:fldCharType="separate"/>
      </w:r>
      <w:r>
        <w:rPr>
          <w:rStyle w:val="47"/>
          <w:bCs/>
        </w:rPr>
        <w:t>6.10  施工现场安全文明施工要求</w:t>
      </w:r>
      <w:r>
        <w:rPr>
          <w:bCs/>
        </w:rPr>
        <w:tab/>
      </w:r>
      <w:r>
        <w:rPr>
          <w:bCs/>
        </w:rPr>
        <w:fldChar w:fldCharType="begin"/>
      </w:r>
      <w:r>
        <w:rPr>
          <w:bCs/>
        </w:rPr>
        <w:instrText xml:space="preserve"> PAGEREF _Toc117350602 \h </w:instrText>
      </w:r>
      <w:r>
        <w:rPr>
          <w:bCs/>
        </w:rPr>
        <w:fldChar w:fldCharType="separate"/>
      </w:r>
      <w:r>
        <w:rPr>
          <w:bCs/>
        </w:rPr>
        <w:t>117</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"_Toc117350603" </w:instrText>
      </w:r>
      <w:r>
        <w:fldChar w:fldCharType="separate"/>
      </w:r>
      <w:r>
        <w:rPr>
          <w:rStyle w:val="47"/>
          <w:b w:val="0"/>
        </w:rPr>
        <w:t>7.治安保卫</w:t>
      </w:r>
      <w:r>
        <w:rPr>
          <w:b w:val="0"/>
        </w:rPr>
        <w:tab/>
      </w:r>
      <w:r>
        <w:rPr>
          <w:b w:val="0"/>
        </w:rPr>
        <w:fldChar w:fldCharType="begin"/>
      </w:r>
      <w:r>
        <w:rPr>
          <w:b w:val="0"/>
        </w:rPr>
        <w:instrText xml:space="preserve"> PAGEREF _Toc117350603 \h </w:instrText>
      </w:r>
      <w:r>
        <w:rPr>
          <w:b w:val="0"/>
        </w:rPr>
        <w:fldChar w:fldCharType="separate"/>
      </w:r>
      <w:r>
        <w:rPr>
          <w:b w:val="0"/>
        </w:rPr>
        <w:t>117</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"_Toc117350604" </w:instrText>
      </w:r>
      <w:r>
        <w:fldChar w:fldCharType="separate"/>
      </w:r>
      <w:r>
        <w:rPr>
          <w:rStyle w:val="47"/>
          <w:b w:val="0"/>
        </w:rPr>
        <w:t>8.地上、地下设施和周边建筑物的临时保护</w:t>
      </w:r>
      <w:r>
        <w:rPr>
          <w:b w:val="0"/>
        </w:rPr>
        <w:tab/>
      </w:r>
      <w:r>
        <w:rPr>
          <w:b w:val="0"/>
        </w:rPr>
        <w:fldChar w:fldCharType="begin"/>
      </w:r>
      <w:r>
        <w:rPr>
          <w:b w:val="0"/>
        </w:rPr>
        <w:instrText xml:space="preserve"> PAGEREF _Toc117350604 \h </w:instrText>
      </w:r>
      <w:r>
        <w:rPr>
          <w:b w:val="0"/>
        </w:rPr>
        <w:fldChar w:fldCharType="separate"/>
      </w:r>
      <w:r>
        <w:rPr>
          <w:b w:val="0"/>
        </w:rPr>
        <w:t>118</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"_Toc117350605" </w:instrText>
      </w:r>
      <w:r>
        <w:fldChar w:fldCharType="separate"/>
      </w:r>
      <w:r>
        <w:rPr>
          <w:rStyle w:val="47"/>
          <w:b w:val="0"/>
        </w:rPr>
        <w:t>9.样品和材料代换</w:t>
      </w:r>
      <w:r>
        <w:rPr>
          <w:b w:val="0"/>
        </w:rPr>
        <w:tab/>
      </w:r>
      <w:r>
        <w:rPr>
          <w:b w:val="0"/>
        </w:rPr>
        <w:fldChar w:fldCharType="begin"/>
      </w:r>
      <w:r>
        <w:rPr>
          <w:b w:val="0"/>
        </w:rPr>
        <w:instrText xml:space="preserve"> PAGEREF _Toc117350605 \h </w:instrText>
      </w:r>
      <w:r>
        <w:rPr>
          <w:b w:val="0"/>
        </w:rPr>
        <w:fldChar w:fldCharType="separate"/>
      </w:r>
      <w:r>
        <w:rPr>
          <w:b w:val="0"/>
        </w:rPr>
        <w:t>118</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"_Toc117350606" </w:instrText>
      </w:r>
      <w:r>
        <w:fldChar w:fldCharType="separate"/>
      </w:r>
      <w:r>
        <w:rPr>
          <w:rStyle w:val="47"/>
          <w:bCs/>
        </w:rPr>
        <w:t>9.1  样品</w:t>
      </w:r>
      <w:r>
        <w:rPr>
          <w:bCs/>
        </w:rPr>
        <w:tab/>
      </w:r>
      <w:r>
        <w:rPr>
          <w:bCs/>
        </w:rPr>
        <w:fldChar w:fldCharType="begin"/>
      </w:r>
      <w:r>
        <w:rPr>
          <w:bCs/>
        </w:rPr>
        <w:instrText xml:space="preserve"> PAGEREF _Toc117350606 \h </w:instrText>
      </w:r>
      <w:r>
        <w:rPr>
          <w:bCs/>
        </w:rPr>
        <w:fldChar w:fldCharType="separate"/>
      </w:r>
      <w:r>
        <w:rPr>
          <w:bCs/>
        </w:rPr>
        <w:t>118</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"_Toc117350607" </w:instrText>
      </w:r>
      <w:r>
        <w:fldChar w:fldCharType="separate"/>
      </w:r>
      <w:r>
        <w:rPr>
          <w:rStyle w:val="47"/>
          <w:bCs/>
        </w:rPr>
        <w:t>9.2  材料代换</w:t>
      </w:r>
      <w:r>
        <w:rPr>
          <w:bCs/>
        </w:rPr>
        <w:tab/>
      </w:r>
      <w:r>
        <w:rPr>
          <w:bCs/>
        </w:rPr>
        <w:fldChar w:fldCharType="begin"/>
      </w:r>
      <w:r>
        <w:rPr>
          <w:bCs/>
        </w:rPr>
        <w:instrText xml:space="preserve"> PAGEREF _Toc117350607 \h </w:instrText>
      </w:r>
      <w:r>
        <w:rPr>
          <w:bCs/>
        </w:rPr>
        <w:fldChar w:fldCharType="separate"/>
      </w:r>
      <w:r>
        <w:rPr>
          <w:bCs/>
        </w:rPr>
        <w:t>119</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"_Toc117350608" </w:instrText>
      </w:r>
      <w:r>
        <w:fldChar w:fldCharType="separate"/>
      </w:r>
      <w:r>
        <w:rPr>
          <w:rStyle w:val="47"/>
          <w:b w:val="0"/>
        </w:rPr>
        <w:t>10.特殊技术标准和要求</w:t>
      </w:r>
      <w:r>
        <w:rPr>
          <w:b w:val="0"/>
        </w:rPr>
        <w:tab/>
      </w:r>
      <w:r>
        <w:rPr>
          <w:b w:val="0"/>
        </w:rPr>
        <w:fldChar w:fldCharType="begin"/>
      </w:r>
      <w:r>
        <w:rPr>
          <w:b w:val="0"/>
        </w:rPr>
        <w:instrText xml:space="preserve"> PAGEREF _Toc117350608 \h </w:instrText>
      </w:r>
      <w:r>
        <w:rPr>
          <w:b w:val="0"/>
        </w:rPr>
        <w:fldChar w:fldCharType="separate"/>
      </w:r>
      <w:r>
        <w:rPr>
          <w:b w:val="0"/>
        </w:rPr>
        <w:t>120</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"_Toc117350609" </w:instrText>
      </w:r>
      <w:r>
        <w:fldChar w:fldCharType="separate"/>
      </w:r>
      <w:r>
        <w:rPr>
          <w:rStyle w:val="47"/>
          <w:bCs/>
        </w:rPr>
        <w:t>10.1  部分材料和工程设备特殊技术要求</w:t>
      </w:r>
      <w:r>
        <w:rPr>
          <w:bCs/>
        </w:rPr>
        <w:tab/>
      </w:r>
      <w:r>
        <w:rPr>
          <w:bCs/>
        </w:rPr>
        <w:fldChar w:fldCharType="begin"/>
      </w:r>
      <w:r>
        <w:rPr>
          <w:bCs/>
        </w:rPr>
        <w:instrText xml:space="preserve"> PAGEREF _Toc117350609 \h </w:instrText>
      </w:r>
      <w:r>
        <w:rPr>
          <w:bCs/>
        </w:rPr>
        <w:fldChar w:fldCharType="separate"/>
      </w:r>
      <w:r>
        <w:rPr>
          <w:bCs/>
        </w:rPr>
        <w:t>120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"_Toc117350610" </w:instrText>
      </w:r>
      <w:r>
        <w:fldChar w:fldCharType="separate"/>
      </w:r>
      <w:r>
        <w:rPr>
          <w:rStyle w:val="47"/>
          <w:bCs/>
        </w:rPr>
        <w:t>10.2  进口材料和工程设备</w:t>
      </w:r>
      <w:r>
        <w:rPr>
          <w:bCs/>
        </w:rPr>
        <w:tab/>
      </w:r>
      <w:r>
        <w:rPr>
          <w:bCs/>
        </w:rPr>
        <w:fldChar w:fldCharType="begin"/>
      </w:r>
      <w:r>
        <w:rPr>
          <w:bCs/>
        </w:rPr>
        <w:instrText xml:space="preserve"> PAGEREF _Toc117350610 \h </w:instrText>
      </w:r>
      <w:r>
        <w:rPr>
          <w:bCs/>
        </w:rPr>
        <w:fldChar w:fldCharType="separate"/>
      </w:r>
      <w:r>
        <w:rPr>
          <w:bCs/>
        </w:rPr>
        <w:t>120</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"_Toc117350611" </w:instrText>
      </w:r>
      <w:r>
        <w:fldChar w:fldCharType="separate"/>
      </w:r>
      <w:r>
        <w:rPr>
          <w:rStyle w:val="47"/>
          <w:bCs/>
        </w:rPr>
        <w:t>10.3  新技术、新工艺和新材料</w:t>
      </w:r>
      <w:r>
        <w:rPr>
          <w:bCs/>
        </w:rPr>
        <w:tab/>
      </w:r>
      <w:r>
        <w:rPr>
          <w:bCs/>
        </w:rPr>
        <w:fldChar w:fldCharType="begin"/>
      </w:r>
      <w:r>
        <w:rPr>
          <w:bCs/>
        </w:rPr>
        <w:instrText xml:space="preserve"> PAGEREF _Toc117350611 \h </w:instrText>
      </w:r>
      <w:r>
        <w:rPr>
          <w:bCs/>
        </w:rPr>
        <w:fldChar w:fldCharType="separate"/>
      </w:r>
      <w:r>
        <w:rPr>
          <w:bCs/>
        </w:rPr>
        <w:t>121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"_Toc117350612" </w:instrText>
      </w:r>
      <w:r>
        <w:fldChar w:fldCharType="separate"/>
      </w:r>
      <w:r>
        <w:rPr>
          <w:rStyle w:val="47"/>
          <w:bCs/>
        </w:rPr>
        <w:t>10.4  其他特殊技术要求</w:t>
      </w:r>
      <w:r>
        <w:rPr>
          <w:bCs/>
        </w:rPr>
        <w:tab/>
      </w:r>
      <w:r>
        <w:rPr>
          <w:bCs/>
        </w:rPr>
        <w:fldChar w:fldCharType="begin"/>
      </w:r>
      <w:r>
        <w:rPr>
          <w:bCs/>
        </w:rPr>
        <w:instrText xml:space="preserve"> PAGEREF _Toc117350612 \h </w:instrText>
      </w:r>
      <w:r>
        <w:rPr>
          <w:bCs/>
        </w:rPr>
        <w:fldChar w:fldCharType="separate"/>
      </w:r>
      <w:r>
        <w:rPr>
          <w:bCs/>
        </w:rPr>
        <w:t>121</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"_Toc117350613" </w:instrText>
      </w:r>
      <w:r>
        <w:fldChar w:fldCharType="separate"/>
      </w:r>
      <w:r>
        <w:rPr>
          <w:rStyle w:val="47"/>
          <w:b w:val="0"/>
        </w:rPr>
        <w:t>11.进度报告和进度例会</w:t>
      </w:r>
      <w:r>
        <w:rPr>
          <w:b w:val="0"/>
        </w:rPr>
        <w:tab/>
      </w:r>
      <w:r>
        <w:rPr>
          <w:b w:val="0"/>
        </w:rPr>
        <w:fldChar w:fldCharType="begin"/>
      </w:r>
      <w:r>
        <w:rPr>
          <w:b w:val="0"/>
        </w:rPr>
        <w:instrText xml:space="preserve"> PAGEREF _Toc117350613 \h </w:instrText>
      </w:r>
      <w:r>
        <w:rPr>
          <w:b w:val="0"/>
        </w:rPr>
        <w:fldChar w:fldCharType="separate"/>
      </w:r>
      <w:r>
        <w:rPr>
          <w:b w:val="0"/>
        </w:rPr>
        <w:t>121</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"_Toc117350614" </w:instrText>
      </w:r>
      <w:r>
        <w:fldChar w:fldCharType="separate"/>
      </w:r>
      <w:r>
        <w:rPr>
          <w:rStyle w:val="47"/>
          <w:bCs/>
        </w:rPr>
        <w:t>11.1  进度报告</w:t>
      </w:r>
      <w:r>
        <w:rPr>
          <w:bCs/>
        </w:rPr>
        <w:tab/>
      </w:r>
      <w:r>
        <w:rPr>
          <w:bCs/>
        </w:rPr>
        <w:fldChar w:fldCharType="begin"/>
      </w:r>
      <w:r>
        <w:rPr>
          <w:bCs/>
        </w:rPr>
        <w:instrText xml:space="preserve"> PAGEREF _Toc117350614 \h </w:instrText>
      </w:r>
      <w:r>
        <w:rPr>
          <w:bCs/>
        </w:rPr>
        <w:fldChar w:fldCharType="separate"/>
      </w:r>
      <w:r>
        <w:rPr>
          <w:bCs/>
        </w:rPr>
        <w:t>121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"_Toc117350615" </w:instrText>
      </w:r>
      <w:r>
        <w:fldChar w:fldCharType="separate"/>
      </w:r>
      <w:r>
        <w:rPr>
          <w:rStyle w:val="47"/>
          <w:bCs/>
        </w:rPr>
        <w:t>11.2  进度例会</w:t>
      </w:r>
      <w:r>
        <w:rPr>
          <w:bCs/>
        </w:rPr>
        <w:tab/>
      </w:r>
      <w:r>
        <w:rPr>
          <w:bCs/>
        </w:rPr>
        <w:fldChar w:fldCharType="begin"/>
      </w:r>
      <w:r>
        <w:rPr>
          <w:bCs/>
        </w:rPr>
        <w:instrText xml:space="preserve"> PAGEREF _Toc117350615 \h </w:instrText>
      </w:r>
      <w:r>
        <w:rPr>
          <w:bCs/>
        </w:rPr>
        <w:fldChar w:fldCharType="separate"/>
      </w:r>
      <w:r>
        <w:rPr>
          <w:bCs/>
        </w:rPr>
        <w:t>122</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"_Toc117350616" </w:instrText>
      </w:r>
      <w:r>
        <w:fldChar w:fldCharType="separate"/>
      </w:r>
      <w:r>
        <w:rPr>
          <w:rStyle w:val="47"/>
          <w:b w:val="0"/>
        </w:rPr>
        <w:t>12.试验和检验</w:t>
      </w:r>
      <w:r>
        <w:rPr>
          <w:b w:val="0"/>
        </w:rPr>
        <w:tab/>
      </w:r>
      <w:r>
        <w:rPr>
          <w:b w:val="0"/>
        </w:rPr>
        <w:fldChar w:fldCharType="begin"/>
      </w:r>
      <w:r>
        <w:rPr>
          <w:b w:val="0"/>
        </w:rPr>
        <w:instrText xml:space="preserve"> PAGEREF _Toc117350616 \h </w:instrText>
      </w:r>
      <w:r>
        <w:rPr>
          <w:b w:val="0"/>
        </w:rPr>
        <w:fldChar w:fldCharType="separate"/>
      </w:r>
      <w:r>
        <w:rPr>
          <w:b w:val="0"/>
        </w:rPr>
        <w:t>122</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"_Toc117350617" </w:instrText>
      </w:r>
      <w:r>
        <w:fldChar w:fldCharType="separate"/>
      </w:r>
      <w:r>
        <w:rPr>
          <w:rStyle w:val="47"/>
          <w:b w:val="0"/>
        </w:rPr>
        <w:t>13.计日工</w:t>
      </w:r>
      <w:r>
        <w:rPr>
          <w:b w:val="0"/>
        </w:rPr>
        <w:tab/>
      </w:r>
      <w:r>
        <w:rPr>
          <w:b w:val="0"/>
        </w:rPr>
        <w:fldChar w:fldCharType="begin"/>
      </w:r>
      <w:r>
        <w:rPr>
          <w:b w:val="0"/>
        </w:rPr>
        <w:instrText xml:space="preserve"> PAGEREF _Toc117350617 \h </w:instrText>
      </w:r>
      <w:r>
        <w:rPr>
          <w:b w:val="0"/>
        </w:rPr>
        <w:fldChar w:fldCharType="separate"/>
      </w:r>
      <w:r>
        <w:rPr>
          <w:b w:val="0"/>
        </w:rPr>
        <w:t>123</w:t>
      </w:r>
      <w:r>
        <w:rPr>
          <w:b w:val="0"/>
        </w:rPr>
        <w:fldChar w:fldCharType="end"/>
      </w:r>
      <w:r>
        <w:rPr>
          <w:b w:val="0"/>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"_Toc117350618" </w:instrText>
      </w:r>
      <w:r>
        <w:fldChar w:fldCharType="separate"/>
      </w:r>
      <w:r>
        <w:rPr>
          <w:rStyle w:val="47"/>
          <w:b w:val="0"/>
        </w:rPr>
        <w:t>14.计量与支付</w:t>
      </w:r>
      <w:r>
        <w:rPr>
          <w:b w:val="0"/>
        </w:rPr>
        <w:tab/>
      </w:r>
      <w:r>
        <w:rPr>
          <w:b w:val="0"/>
        </w:rPr>
        <w:fldChar w:fldCharType="begin"/>
      </w:r>
      <w:r>
        <w:rPr>
          <w:b w:val="0"/>
        </w:rPr>
        <w:instrText xml:space="preserve"> PAGEREF _Toc117350618 \h </w:instrText>
      </w:r>
      <w:r>
        <w:rPr>
          <w:b w:val="0"/>
        </w:rPr>
        <w:fldChar w:fldCharType="separate"/>
      </w:r>
      <w:r>
        <w:rPr>
          <w:b w:val="0"/>
        </w:rPr>
        <w:t>124</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"_Toc117350619" </w:instrText>
      </w:r>
      <w:r>
        <w:fldChar w:fldCharType="separate"/>
      </w:r>
      <w:r>
        <w:rPr>
          <w:rStyle w:val="47"/>
          <w:bCs/>
        </w:rPr>
        <w:t>14.1  付款申请单</w:t>
      </w:r>
      <w:r>
        <w:rPr>
          <w:bCs/>
        </w:rPr>
        <w:tab/>
      </w:r>
      <w:r>
        <w:rPr>
          <w:bCs/>
        </w:rPr>
        <w:fldChar w:fldCharType="begin"/>
      </w:r>
      <w:r>
        <w:rPr>
          <w:bCs/>
        </w:rPr>
        <w:instrText xml:space="preserve"> PAGEREF _Toc117350619 \h </w:instrText>
      </w:r>
      <w:r>
        <w:rPr>
          <w:bCs/>
        </w:rPr>
        <w:fldChar w:fldCharType="separate"/>
      </w:r>
      <w:r>
        <w:rPr>
          <w:bCs/>
        </w:rPr>
        <w:t>124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"_Toc117350620" </w:instrText>
      </w:r>
      <w:r>
        <w:fldChar w:fldCharType="separate"/>
      </w:r>
      <w:r>
        <w:rPr>
          <w:rStyle w:val="47"/>
          <w:bCs/>
        </w:rPr>
        <w:t>14.2  其他约定</w:t>
      </w:r>
      <w:r>
        <w:rPr>
          <w:bCs/>
        </w:rPr>
        <w:tab/>
      </w:r>
      <w:r>
        <w:rPr>
          <w:bCs/>
        </w:rPr>
        <w:fldChar w:fldCharType="begin"/>
      </w:r>
      <w:r>
        <w:rPr>
          <w:bCs/>
        </w:rPr>
        <w:instrText xml:space="preserve"> PAGEREF _Toc117350620 \h </w:instrText>
      </w:r>
      <w:r>
        <w:rPr>
          <w:bCs/>
        </w:rPr>
        <w:fldChar w:fldCharType="separate"/>
      </w:r>
      <w:r>
        <w:rPr>
          <w:bCs/>
        </w:rPr>
        <w:t>125</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"_Toc117350621" </w:instrText>
      </w:r>
      <w:r>
        <w:fldChar w:fldCharType="separate"/>
      </w:r>
      <w:r>
        <w:rPr>
          <w:rStyle w:val="47"/>
          <w:b w:val="0"/>
        </w:rPr>
        <w:t>15.竣工验收和工程移交</w:t>
      </w:r>
      <w:r>
        <w:rPr>
          <w:b w:val="0"/>
        </w:rPr>
        <w:tab/>
      </w:r>
      <w:r>
        <w:rPr>
          <w:b w:val="0"/>
        </w:rPr>
        <w:fldChar w:fldCharType="begin"/>
      </w:r>
      <w:r>
        <w:rPr>
          <w:b w:val="0"/>
        </w:rPr>
        <w:instrText xml:space="preserve"> PAGEREF _Toc117350621 \h </w:instrText>
      </w:r>
      <w:r>
        <w:rPr>
          <w:b w:val="0"/>
        </w:rPr>
        <w:fldChar w:fldCharType="separate"/>
      </w:r>
      <w:r>
        <w:rPr>
          <w:b w:val="0"/>
        </w:rPr>
        <w:t>125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"_Toc117350622" </w:instrText>
      </w:r>
      <w:r>
        <w:fldChar w:fldCharType="separate"/>
      </w:r>
      <w:r>
        <w:rPr>
          <w:rStyle w:val="47"/>
          <w:bCs/>
        </w:rPr>
        <w:t>15.1  竣工验收前的清理</w:t>
      </w:r>
      <w:r>
        <w:rPr>
          <w:bCs/>
        </w:rPr>
        <w:tab/>
      </w:r>
      <w:r>
        <w:rPr>
          <w:bCs/>
        </w:rPr>
        <w:fldChar w:fldCharType="begin"/>
      </w:r>
      <w:r>
        <w:rPr>
          <w:bCs/>
        </w:rPr>
        <w:instrText xml:space="preserve"> PAGEREF _Toc117350622 \h </w:instrText>
      </w:r>
      <w:r>
        <w:rPr>
          <w:bCs/>
        </w:rPr>
        <w:fldChar w:fldCharType="separate"/>
      </w:r>
      <w:r>
        <w:rPr>
          <w:bCs/>
        </w:rPr>
        <w:t>125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"_Toc117350623" </w:instrText>
      </w:r>
      <w:r>
        <w:fldChar w:fldCharType="separate"/>
      </w:r>
      <w:r>
        <w:rPr>
          <w:rStyle w:val="47"/>
          <w:bCs/>
        </w:rPr>
        <w:t>15.2  竣工验收申请报告</w:t>
      </w:r>
      <w:r>
        <w:rPr>
          <w:bCs/>
        </w:rPr>
        <w:tab/>
      </w:r>
      <w:r>
        <w:rPr>
          <w:bCs/>
        </w:rPr>
        <w:fldChar w:fldCharType="begin"/>
      </w:r>
      <w:r>
        <w:rPr>
          <w:bCs/>
        </w:rPr>
        <w:instrText xml:space="preserve"> PAGEREF _Toc117350623 \h </w:instrText>
      </w:r>
      <w:r>
        <w:rPr>
          <w:bCs/>
        </w:rPr>
        <w:fldChar w:fldCharType="separate"/>
      </w:r>
      <w:r>
        <w:rPr>
          <w:bCs/>
        </w:rPr>
        <w:t>126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"_Toc117350624" </w:instrText>
      </w:r>
      <w:r>
        <w:fldChar w:fldCharType="separate"/>
      </w:r>
      <w:r>
        <w:rPr>
          <w:rStyle w:val="47"/>
          <w:bCs/>
        </w:rPr>
        <w:t>15.3  竣工清场</w:t>
      </w:r>
      <w:r>
        <w:rPr>
          <w:bCs/>
        </w:rPr>
        <w:tab/>
      </w:r>
      <w:r>
        <w:rPr>
          <w:bCs/>
        </w:rPr>
        <w:fldChar w:fldCharType="begin"/>
      </w:r>
      <w:r>
        <w:rPr>
          <w:bCs/>
        </w:rPr>
        <w:instrText xml:space="preserve"> PAGEREF _Toc117350624 \h </w:instrText>
      </w:r>
      <w:r>
        <w:rPr>
          <w:bCs/>
        </w:rPr>
        <w:fldChar w:fldCharType="separate"/>
      </w:r>
      <w:r>
        <w:rPr>
          <w:bCs/>
        </w:rPr>
        <w:t>126</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"_Toc117350625" </w:instrText>
      </w:r>
      <w:r>
        <w:fldChar w:fldCharType="separate"/>
      </w:r>
      <w:r>
        <w:rPr>
          <w:rStyle w:val="47"/>
          <w:b w:val="0"/>
        </w:rPr>
        <w:t>16.需要补充的其他要求</w:t>
      </w:r>
      <w:r>
        <w:rPr>
          <w:b w:val="0"/>
        </w:rPr>
        <w:tab/>
      </w:r>
      <w:r>
        <w:rPr>
          <w:b w:val="0"/>
        </w:rPr>
        <w:fldChar w:fldCharType="begin"/>
      </w:r>
      <w:r>
        <w:rPr>
          <w:b w:val="0"/>
        </w:rPr>
        <w:instrText xml:space="preserve"> PAGEREF _Toc117350625 \h </w:instrText>
      </w:r>
      <w:r>
        <w:rPr>
          <w:b w:val="0"/>
        </w:rPr>
        <w:fldChar w:fldCharType="separate"/>
      </w:r>
      <w:r>
        <w:rPr>
          <w:b w:val="0"/>
        </w:rPr>
        <w:t>127</w:t>
      </w:r>
      <w:r>
        <w:rPr>
          <w:b w:val="0"/>
        </w:rPr>
        <w:fldChar w:fldCharType="end"/>
      </w:r>
      <w:r>
        <w:rPr>
          <w:b w:val="0"/>
        </w:rPr>
        <w:fldChar w:fldCharType="end"/>
      </w:r>
    </w:p>
    <w:p>
      <w:pPr>
        <w:pStyle w:val="29"/>
        <w:rPr>
          <w:rFonts w:asciiTheme="minorHAnsi" w:hAnsiTheme="minorHAnsi" w:eastAsiaTheme="minorEastAsia" w:cstheme="minorBidi"/>
          <w:caps w:val="0"/>
          <w:szCs w:val="22"/>
        </w:rPr>
      </w:pPr>
      <w:r>
        <w:fldChar w:fldCharType="begin"/>
      </w:r>
      <w:r>
        <w:instrText xml:space="preserve"> HYPERLINK \l "_Toc117350626" </w:instrText>
      </w:r>
      <w:r>
        <w:fldChar w:fldCharType="separate"/>
      </w:r>
      <w:r>
        <w:rPr>
          <w:rStyle w:val="47"/>
        </w:rPr>
        <w:t>第六章  工程量清单通用部分</w:t>
      </w:r>
      <w:r>
        <w:tab/>
      </w:r>
      <w:r>
        <w:fldChar w:fldCharType="begin"/>
      </w:r>
      <w:r>
        <w:instrText xml:space="preserve"> PAGEREF _Toc117350626 \h </w:instrText>
      </w:r>
      <w:r>
        <w:fldChar w:fldCharType="separate"/>
      </w:r>
      <w:r>
        <w:t>129</w:t>
      </w:r>
      <w:r>
        <w:fldChar w:fldCharType="end"/>
      </w:r>
      <w:r>
        <w:fldChar w:fldCharType="end"/>
      </w:r>
    </w:p>
    <w:p>
      <w:pPr>
        <w:pStyle w:val="34"/>
        <w:rPr>
          <w:rFonts w:asciiTheme="minorHAnsi" w:hAnsiTheme="minorHAnsi" w:eastAsiaTheme="minorEastAsia" w:cstheme="minorBidi"/>
          <w:b w:val="0"/>
          <w:szCs w:val="22"/>
        </w:rPr>
      </w:pPr>
      <w:r>
        <w:fldChar w:fldCharType="begin"/>
      </w:r>
      <w:r>
        <w:instrText xml:space="preserve"> HYPERLINK \l "_Toc117350627" </w:instrText>
      </w:r>
      <w:r>
        <w:fldChar w:fldCharType="separate"/>
      </w:r>
      <w:r>
        <w:rPr>
          <w:rStyle w:val="47"/>
          <w:b w:val="0"/>
        </w:rPr>
        <w:t>1.工程量清单说明</w:t>
      </w:r>
      <w:r>
        <w:rPr>
          <w:b w:val="0"/>
        </w:rPr>
        <w:tab/>
      </w:r>
      <w:r>
        <w:rPr>
          <w:b w:val="0"/>
        </w:rPr>
        <w:fldChar w:fldCharType="begin"/>
      </w:r>
      <w:r>
        <w:rPr>
          <w:b w:val="0"/>
        </w:rPr>
        <w:instrText xml:space="preserve"> PAGEREF _Toc117350627 \h </w:instrText>
      </w:r>
      <w:r>
        <w:rPr>
          <w:b w:val="0"/>
        </w:rPr>
        <w:fldChar w:fldCharType="separate"/>
      </w:r>
      <w:r>
        <w:rPr>
          <w:b w:val="0"/>
        </w:rPr>
        <w:t>131</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"_Toc117350628" </w:instrText>
      </w:r>
      <w:r>
        <w:fldChar w:fldCharType="separate"/>
      </w:r>
      <w:r>
        <w:rPr>
          <w:rStyle w:val="47"/>
          <w:bCs/>
        </w:rPr>
        <w:t>1.1  工程量清单编制依据</w:t>
      </w:r>
      <w:r>
        <w:rPr>
          <w:bCs/>
        </w:rPr>
        <w:tab/>
      </w:r>
      <w:r>
        <w:rPr>
          <w:bCs/>
        </w:rPr>
        <w:fldChar w:fldCharType="begin"/>
      </w:r>
      <w:r>
        <w:rPr>
          <w:bCs/>
        </w:rPr>
        <w:instrText xml:space="preserve"> PAGEREF _Toc117350628 \h </w:instrText>
      </w:r>
      <w:r>
        <w:rPr>
          <w:bCs/>
        </w:rPr>
        <w:fldChar w:fldCharType="separate"/>
      </w:r>
      <w:r>
        <w:rPr>
          <w:bCs/>
        </w:rPr>
        <w:t>131</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"_Toc117350629" </w:instrText>
      </w:r>
      <w:r>
        <w:fldChar w:fldCharType="separate"/>
      </w:r>
      <w:r>
        <w:rPr>
          <w:rStyle w:val="47"/>
          <w:bCs/>
        </w:rPr>
        <w:t>1.2  工程量清单有关内容的理解</w:t>
      </w:r>
      <w:r>
        <w:rPr>
          <w:bCs/>
        </w:rPr>
        <w:tab/>
      </w:r>
      <w:r>
        <w:rPr>
          <w:bCs/>
        </w:rPr>
        <w:fldChar w:fldCharType="begin"/>
      </w:r>
      <w:r>
        <w:rPr>
          <w:bCs/>
        </w:rPr>
        <w:instrText xml:space="preserve"> PAGEREF _Toc117350629 \h </w:instrText>
      </w:r>
      <w:r>
        <w:rPr>
          <w:bCs/>
        </w:rPr>
        <w:fldChar w:fldCharType="separate"/>
      </w:r>
      <w:r>
        <w:rPr>
          <w:bCs/>
        </w:rPr>
        <w:t>131</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"_Toc117350630" </w:instrText>
      </w:r>
      <w:r>
        <w:fldChar w:fldCharType="separate"/>
      </w:r>
      <w:r>
        <w:rPr>
          <w:rStyle w:val="47"/>
          <w:b w:val="0"/>
        </w:rPr>
        <w:t>2.投标报价说明</w:t>
      </w:r>
      <w:r>
        <w:rPr>
          <w:b w:val="0"/>
        </w:rPr>
        <w:tab/>
      </w:r>
      <w:r>
        <w:rPr>
          <w:b w:val="0"/>
        </w:rPr>
        <w:fldChar w:fldCharType="begin"/>
      </w:r>
      <w:r>
        <w:rPr>
          <w:b w:val="0"/>
        </w:rPr>
        <w:instrText xml:space="preserve"> PAGEREF _Toc117350630 \h </w:instrText>
      </w:r>
      <w:r>
        <w:rPr>
          <w:b w:val="0"/>
        </w:rPr>
        <w:fldChar w:fldCharType="separate"/>
      </w:r>
      <w:r>
        <w:rPr>
          <w:b w:val="0"/>
        </w:rPr>
        <w:t>132</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"_Toc117350631" </w:instrText>
      </w:r>
      <w:r>
        <w:fldChar w:fldCharType="separate"/>
      </w:r>
      <w:r>
        <w:rPr>
          <w:rStyle w:val="47"/>
          <w:bCs/>
        </w:rPr>
        <w:t>2.1  投标报价的依据</w:t>
      </w:r>
      <w:r>
        <w:rPr>
          <w:bCs/>
        </w:rPr>
        <w:tab/>
      </w:r>
      <w:r>
        <w:rPr>
          <w:bCs/>
        </w:rPr>
        <w:fldChar w:fldCharType="begin"/>
      </w:r>
      <w:r>
        <w:rPr>
          <w:bCs/>
        </w:rPr>
        <w:instrText xml:space="preserve"> PAGEREF _Toc117350631 \h </w:instrText>
      </w:r>
      <w:r>
        <w:rPr>
          <w:bCs/>
        </w:rPr>
        <w:fldChar w:fldCharType="separate"/>
      </w:r>
      <w:r>
        <w:rPr>
          <w:bCs/>
        </w:rPr>
        <w:t>132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"_Toc117350632" </w:instrText>
      </w:r>
      <w:r>
        <w:fldChar w:fldCharType="separate"/>
      </w:r>
      <w:r>
        <w:rPr>
          <w:rStyle w:val="47"/>
          <w:bCs/>
        </w:rPr>
        <w:t>2.2  投标报价的一般规定</w:t>
      </w:r>
      <w:r>
        <w:rPr>
          <w:bCs/>
        </w:rPr>
        <w:tab/>
      </w:r>
      <w:r>
        <w:rPr>
          <w:bCs/>
        </w:rPr>
        <w:fldChar w:fldCharType="begin"/>
      </w:r>
      <w:r>
        <w:rPr>
          <w:bCs/>
        </w:rPr>
        <w:instrText xml:space="preserve"> PAGEREF _Toc117350632 \h </w:instrText>
      </w:r>
      <w:r>
        <w:rPr>
          <w:bCs/>
        </w:rPr>
        <w:fldChar w:fldCharType="separate"/>
      </w:r>
      <w:r>
        <w:rPr>
          <w:bCs/>
        </w:rPr>
        <w:t>132</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"_Toc117350633" </w:instrText>
      </w:r>
      <w:r>
        <w:fldChar w:fldCharType="separate"/>
      </w:r>
      <w:r>
        <w:rPr>
          <w:rStyle w:val="47"/>
          <w:bCs/>
        </w:rPr>
        <w:t>2.3  分部分项工程和单价措施项目报价</w:t>
      </w:r>
      <w:r>
        <w:rPr>
          <w:bCs/>
        </w:rPr>
        <w:tab/>
      </w:r>
      <w:r>
        <w:rPr>
          <w:bCs/>
        </w:rPr>
        <w:fldChar w:fldCharType="begin"/>
      </w:r>
      <w:r>
        <w:rPr>
          <w:bCs/>
        </w:rPr>
        <w:instrText xml:space="preserve"> PAGEREF _Toc117350633 \h </w:instrText>
      </w:r>
      <w:r>
        <w:rPr>
          <w:bCs/>
        </w:rPr>
        <w:fldChar w:fldCharType="separate"/>
      </w:r>
      <w:r>
        <w:rPr>
          <w:bCs/>
        </w:rPr>
        <w:t>133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"_Toc117350634" </w:instrText>
      </w:r>
      <w:r>
        <w:fldChar w:fldCharType="separate"/>
      </w:r>
      <w:r>
        <w:rPr>
          <w:rStyle w:val="47"/>
          <w:bCs/>
        </w:rPr>
        <w:t>2.4  总价措施项目报价</w:t>
      </w:r>
      <w:r>
        <w:rPr>
          <w:bCs/>
        </w:rPr>
        <w:tab/>
      </w:r>
      <w:r>
        <w:rPr>
          <w:bCs/>
        </w:rPr>
        <w:fldChar w:fldCharType="begin"/>
      </w:r>
      <w:r>
        <w:rPr>
          <w:bCs/>
        </w:rPr>
        <w:instrText xml:space="preserve"> PAGEREF _Toc117350634 \h </w:instrText>
      </w:r>
      <w:r>
        <w:rPr>
          <w:bCs/>
        </w:rPr>
        <w:fldChar w:fldCharType="separate"/>
      </w:r>
      <w:r>
        <w:rPr>
          <w:bCs/>
        </w:rPr>
        <w:t>133</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"_Toc117350635" </w:instrText>
      </w:r>
      <w:r>
        <w:fldChar w:fldCharType="separate"/>
      </w:r>
      <w:r>
        <w:rPr>
          <w:rStyle w:val="47"/>
          <w:bCs/>
        </w:rPr>
        <w:t>2.5  其他项目清单报价</w:t>
      </w:r>
      <w:r>
        <w:rPr>
          <w:bCs/>
        </w:rPr>
        <w:tab/>
      </w:r>
      <w:r>
        <w:rPr>
          <w:bCs/>
        </w:rPr>
        <w:fldChar w:fldCharType="begin"/>
      </w:r>
      <w:r>
        <w:rPr>
          <w:bCs/>
        </w:rPr>
        <w:instrText xml:space="preserve"> PAGEREF _Toc117350635 \h </w:instrText>
      </w:r>
      <w:r>
        <w:rPr>
          <w:bCs/>
        </w:rPr>
        <w:fldChar w:fldCharType="separate"/>
      </w:r>
      <w:r>
        <w:rPr>
          <w:bCs/>
        </w:rPr>
        <w:t>134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"_Toc117350636" </w:instrText>
      </w:r>
      <w:r>
        <w:fldChar w:fldCharType="separate"/>
      </w:r>
      <w:r>
        <w:rPr>
          <w:rStyle w:val="47"/>
          <w:bCs/>
        </w:rPr>
        <w:t>2.6  税金</w:t>
      </w:r>
      <w:r>
        <w:rPr>
          <w:bCs/>
        </w:rPr>
        <w:tab/>
      </w:r>
      <w:r>
        <w:rPr>
          <w:bCs/>
        </w:rPr>
        <w:fldChar w:fldCharType="begin"/>
      </w:r>
      <w:r>
        <w:rPr>
          <w:bCs/>
        </w:rPr>
        <w:instrText xml:space="preserve"> PAGEREF _Toc117350636 \h </w:instrText>
      </w:r>
      <w:r>
        <w:rPr>
          <w:bCs/>
        </w:rPr>
        <w:fldChar w:fldCharType="separate"/>
      </w:r>
      <w:r>
        <w:rPr>
          <w:bCs/>
        </w:rPr>
        <w:t>134</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"_Toc117350637" </w:instrText>
      </w:r>
      <w:r>
        <w:fldChar w:fldCharType="separate"/>
      </w:r>
      <w:r>
        <w:rPr>
          <w:rStyle w:val="47"/>
          <w:bCs/>
        </w:rPr>
        <w:t>2.7  投标报价需要说明的问题</w:t>
      </w:r>
      <w:r>
        <w:rPr>
          <w:bCs/>
        </w:rPr>
        <w:tab/>
      </w:r>
      <w:r>
        <w:rPr>
          <w:bCs/>
        </w:rPr>
        <w:fldChar w:fldCharType="begin"/>
      </w:r>
      <w:r>
        <w:rPr>
          <w:bCs/>
        </w:rPr>
        <w:instrText xml:space="preserve"> PAGEREF _Toc117350637 \h </w:instrText>
      </w:r>
      <w:r>
        <w:rPr>
          <w:bCs/>
        </w:rPr>
        <w:fldChar w:fldCharType="separate"/>
      </w:r>
      <w:r>
        <w:rPr>
          <w:bCs/>
        </w:rPr>
        <w:t>134</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"_Toc117350638" </w:instrText>
      </w:r>
      <w:r>
        <w:fldChar w:fldCharType="separate"/>
      </w:r>
      <w:r>
        <w:rPr>
          <w:rStyle w:val="47"/>
          <w:b w:val="0"/>
        </w:rPr>
        <w:t>3.其他说明</w:t>
      </w:r>
      <w:r>
        <w:rPr>
          <w:b w:val="0"/>
        </w:rPr>
        <w:tab/>
      </w:r>
      <w:r>
        <w:rPr>
          <w:b w:val="0"/>
        </w:rPr>
        <w:fldChar w:fldCharType="begin"/>
      </w:r>
      <w:r>
        <w:rPr>
          <w:b w:val="0"/>
        </w:rPr>
        <w:instrText xml:space="preserve"> PAGEREF _Toc117350638 \h </w:instrText>
      </w:r>
      <w:r>
        <w:rPr>
          <w:b w:val="0"/>
        </w:rPr>
        <w:fldChar w:fldCharType="separate"/>
      </w:r>
      <w:r>
        <w:rPr>
          <w:b w:val="0"/>
        </w:rPr>
        <w:t>135</w:t>
      </w:r>
      <w:r>
        <w:rPr>
          <w:b w:val="0"/>
        </w:rPr>
        <w:fldChar w:fldCharType="end"/>
      </w:r>
      <w:r>
        <w:rPr>
          <w:b w:val="0"/>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"_Toc117350639" </w:instrText>
      </w:r>
      <w:r>
        <w:fldChar w:fldCharType="separate"/>
      </w:r>
      <w:r>
        <w:rPr>
          <w:rStyle w:val="47"/>
          <w:bCs/>
        </w:rPr>
        <w:t>3.1  工程量差异调整（适用于单价合同）</w:t>
      </w:r>
      <w:r>
        <w:rPr>
          <w:bCs/>
        </w:rPr>
        <w:tab/>
      </w:r>
      <w:r>
        <w:rPr>
          <w:bCs/>
        </w:rPr>
        <w:fldChar w:fldCharType="begin"/>
      </w:r>
      <w:r>
        <w:rPr>
          <w:bCs/>
        </w:rPr>
        <w:instrText xml:space="preserve"> PAGEREF _Toc117350639 \h </w:instrText>
      </w:r>
      <w:r>
        <w:rPr>
          <w:bCs/>
        </w:rPr>
        <w:fldChar w:fldCharType="separate"/>
      </w:r>
      <w:r>
        <w:rPr>
          <w:bCs/>
        </w:rPr>
        <w:t>135</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"_Toc117350640" </w:instrText>
      </w:r>
      <w:r>
        <w:fldChar w:fldCharType="separate"/>
      </w:r>
      <w:r>
        <w:rPr>
          <w:rStyle w:val="47"/>
          <w:bCs/>
        </w:rPr>
        <w:t>3.1  工程量差异调整（适用于总价合同）</w:t>
      </w:r>
      <w:r>
        <w:rPr>
          <w:bCs/>
        </w:rPr>
        <w:tab/>
      </w:r>
      <w:r>
        <w:rPr>
          <w:bCs/>
        </w:rPr>
        <w:fldChar w:fldCharType="begin"/>
      </w:r>
      <w:r>
        <w:rPr>
          <w:bCs/>
        </w:rPr>
        <w:instrText xml:space="preserve"> PAGEREF _Toc117350640 \h </w:instrText>
      </w:r>
      <w:r>
        <w:rPr>
          <w:bCs/>
        </w:rPr>
        <w:fldChar w:fldCharType="separate"/>
      </w:r>
      <w:r>
        <w:rPr>
          <w:bCs/>
        </w:rPr>
        <w:t>136</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"_Toc117350641" </w:instrText>
      </w:r>
      <w:r>
        <w:fldChar w:fldCharType="separate"/>
      </w:r>
      <w:r>
        <w:rPr>
          <w:rStyle w:val="47"/>
          <w:bCs/>
        </w:rPr>
        <w:t>3.2  暂列金额和暂估价</w:t>
      </w:r>
      <w:r>
        <w:rPr>
          <w:bCs/>
        </w:rPr>
        <w:tab/>
      </w:r>
      <w:r>
        <w:rPr>
          <w:bCs/>
        </w:rPr>
        <w:fldChar w:fldCharType="begin"/>
      </w:r>
      <w:r>
        <w:rPr>
          <w:bCs/>
        </w:rPr>
        <w:instrText xml:space="preserve"> PAGEREF _Toc117350641 \h </w:instrText>
      </w:r>
      <w:r>
        <w:rPr>
          <w:bCs/>
        </w:rPr>
        <w:fldChar w:fldCharType="separate"/>
      </w:r>
      <w:r>
        <w:rPr>
          <w:bCs/>
        </w:rPr>
        <w:t>137</w:t>
      </w:r>
      <w:r>
        <w:rPr>
          <w:bCs/>
        </w:rPr>
        <w:fldChar w:fldCharType="end"/>
      </w:r>
      <w:r>
        <w:rPr>
          <w:bCs/>
        </w:rPr>
        <w:fldChar w:fldCharType="end"/>
      </w:r>
    </w:p>
    <w:p>
      <w:pPr>
        <w:pStyle w:val="21"/>
        <w:ind w:left="840"/>
        <w:rPr>
          <w:rFonts w:asciiTheme="minorHAnsi" w:hAnsiTheme="minorHAnsi" w:eastAsiaTheme="minorEastAsia" w:cstheme="minorBidi"/>
          <w:bCs/>
          <w:szCs w:val="22"/>
        </w:rPr>
      </w:pPr>
      <w:r>
        <w:fldChar w:fldCharType="begin"/>
      </w:r>
      <w:r>
        <w:instrText xml:space="preserve"> HYPERLINK \l "_Toc117350642" </w:instrText>
      </w:r>
      <w:r>
        <w:fldChar w:fldCharType="separate"/>
      </w:r>
      <w:r>
        <w:rPr>
          <w:rStyle w:val="47"/>
          <w:bCs/>
        </w:rPr>
        <w:t>3.3  需要补充的其他说明</w:t>
      </w:r>
      <w:r>
        <w:rPr>
          <w:bCs/>
        </w:rPr>
        <w:tab/>
      </w:r>
      <w:r>
        <w:rPr>
          <w:bCs/>
        </w:rPr>
        <w:fldChar w:fldCharType="begin"/>
      </w:r>
      <w:r>
        <w:rPr>
          <w:bCs/>
        </w:rPr>
        <w:instrText xml:space="preserve"> PAGEREF _Toc117350642 \h </w:instrText>
      </w:r>
      <w:r>
        <w:rPr>
          <w:bCs/>
        </w:rPr>
        <w:fldChar w:fldCharType="separate"/>
      </w:r>
      <w:r>
        <w:rPr>
          <w:bCs/>
        </w:rPr>
        <w:t>137</w:t>
      </w:r>
      <w:r>
        <w:rPr>
          <w:bCs/>
        </w:rPr>
        <w:fldChar w:fldCharType="end"/>
      </w:r>
      <w:r>
        <w:rPr>
          <w:bCs/>
        </w:rPr>
        <w:fldChar w:fldCharType="end"/>
      </w:r>
    </w:p>
    <w:p>
      <w:pPr>
        <w:pStyle w:val="34"/>
        <w:rPr>
          <w:rFonts w:asciiTheme="minorHAnsi" w:hAnsiTheme="minorHAnsi" w:eastAsiaTheme="minorEastAsia" w:cstheme="minorBidi"/>
          <w:b w:val="0"/>
          <w:szCs w:val="22"/>
        </w:rPr>
      </w:pPr>
      <w:r>
        <w:fldChar w:fldCharType="begin"/>
      </w:r>
      <w:r>
        <w:instrText xml:space="preserve"> HYPERLINK \l "_Toc117350643" </w:instrText>
      </w:r>
      <w:r>
        <w:fldChar w:fldCharType="separate"/>
      </w:r>
      <w:r>
        <w:rPr>
          <w:rStyle w:val="47"/>
          <w:b w:val="0"/>
        </w:rPr>
        <w:t>4.工程量清单与计价表</w:t>
      </w:r>
      <w:r>
        <w:rPr>
          <w:b w:val="0"/>
        </w:rPr>
        <w:tab/>
      </w:r>
      <w:r>
        <w:rPr>
          <w:b w:val="0"/>
        </w:rPr>
        <w:fldChar w:fldCharType="begin"/>
      </w:r>
      <w:r>
        <w:rPr>
          <w:b w:val="0"/>
        </w:rPr>
        <w:instrText xml:space="preserve"> PAGEREF _Toc117350643 \h </w:instrText>
      </w:r>
      <w:r>
        <w:rPr>
          <w:b w:val="0"/>
        </w:rPr>
        <w:fldChar w:fldCharType="separate"/>
      </w:r>
      <w:r>
        <w:rPr>
          <w:b w:val="0"/>
        </w:rPr>
        <w:t>137</w:t>
      </w:r>
      <w:r>
        <w:rPr>
          <w:b w:val="0"/>
        </w:rPr>
        <w:fldChar w:fldCharType="end"/>
      </w:r>
      <w:r>
        <w:rPr>
          <w:b w:val="0"/>
        </w:rPr>
        <w:fldChar w:fldCharType="end"/>
      </w:r>
    </w:p>
    <w:p>
      <w:pPr>
        <w:rPr>
          <w:szCs w:val="21"/>
        </w:rPr>
      </w:pPr>
      <w:r>
        <w:rPr>
          <w:bCs/>
          <w:szCs w:val="21"/>
        </w:rPr>
        <w:fldChar w:fldCharType="end"/>
      </w:r>
      <w:bookmarkEnd w:id="9"/>
      <w:bookmarkStart w:id="10" w:name="_Toc490222394"/>
      <w:bookmarkStart w:id="11" w:name="_Toc489279763"/>
      <w:bookmarkStart w:id="12" w:name="_Toc486579947"/>
    </w:p>
    <w:p>
      <w:pPr>
        <w:rPr>
          <w:szCs w:val="21"/>
        </w:rPr>
      </w:pPr>
      <w:r>
        <w:rPr>
          <w:szCs w:val="21"/>
        </w:rPr>
        <w:br w:type="page"/>
      </w:r>
    </w:p>
    <w:p>
      <w:pPr>
        <w:rPr>
          <w:szCs w:val="21"/>
        </w:rPr>
        <w:sectPr>
          <w:headerReference r:id="rId10" w:type="default"/>
          <w:footerReference r:id="rId11" w:type="default"/>
          <w:footerReference r:id="rId12" w:type="even"/>
          <w:pgSz w:w="11906" w:h="16838"/>
          <w:pgMar w:top="1440" w:right="1797" w:bottom="1440" w:left="1797" w:header="851" w:footer="992" w:gutter="0"/>
          <w:pgNumType w:start="1"/>
          <w:cols w:space="720" w:num="1"/>
          <w:docGrid w:linePitch="286" w:charSpace="0"/>
        </w:sectPr>
      </w:pPr>
    </w:p>
    <w:p>
      <w:pPr>
        <w:pStyle w:val="39"/>
        <w:spacing w:before="3600" w:beforeLines="1500"/>
        <w:rPr>
          <w:szCs w:val="44"/>
        </w:rPr>
      </w:pPr>
      <w:bookmarkStart w:id="13" w:name="_Toc117350317"/>
      <w:r>
        <w:rPr>
          <w:rFonts w:hint="eastAsia"/>
          <w:szCs w:val="44"/>
        </w:rPr>
        <w:t>第一章</w:t>
      </w:r>
      <w:r>
        <w:rPr>
          <w:szCs w:val="44"/>
        </w:rPr>
        <w:t xml:space="preserve">  </w:t>
      </w:r>
      <w:r>
        <w:rPr>
          <w:rFonts w:hint="eastAsia"/>
          <w:szCs w:val="44"/>
        </w:rPr>
        <w:t>招标公告通用部分</w:t>
      </w:r>
      <w:bookmarkEnd w:id="10"/>
      <w:bookmarkEnd w:id="11"/>
      <w:bookmarkEnd w:id="12"/>
      <w:bookmarkEnd w:id="13"/>
    </w:p>
    <w:p>
      <w:pPr>
        <w:spacing w:line="360" w:lineRule="auto"/>
        <w:rPr>
          <w:b/>
          <w:sz w:val="48"/>
          <w:szCs w:val="48"/>
        </w:rPr>
      </w:pPr>
    </w:p>
    <w:p>
      <w:pPr>
        <w:rPr>
          <w:sz w:val="48"/>
          <w:szCs w:val="48"/>
        </w:rPr>
      </w:pPr>
    </w:p>
    <w:p>
      <w:pPr>
        <w:rPr>
          <w:sz w:val="48"/>
          <w:szCs w:val="48"/>
        </w:rPr>
      </w:pPr>
    </w:p>
    <w:p>
      <w:pPr>
        <w:rPr>
          <w:sz w:val="48"/>
          <w:szCs w:val="48"/>
        </w:rPr>
      </w:pPr>
    </w:p>
    <w:p>
      <w:pPr>
        <w:rPr>
          <w:sz w:val="48"/>
          <w:szCs w:val="48"/>
        </w:rPr>
      </w:pPr>
    </w:p>
    <w:p>
      <w:pPr>
        <w:rPr>
          <w:sz w:val="48"/>
          <w:szCs w:val="48"/>
        </w:rPr>
      </w:pPr>
    </w:p>
    <w:p>
      <w:pPr>
        <w:tabs>
          <w:tab w:val="left" w:pos="6810"/>
        </w:tabs>
        <w:rPr>
          <w:sz w:val="48"/>
          <w:szCs w:val="48"/>
        </w:rPr>
      </w:pPr>
      <w:r>
        <w:rPr>
          <w:sz w:val="48"/>
          <w:szCs w:val="48"/>
        </w:rPr>
        <w:tab/>
      </w:r>
    </w:p>
    <w:p>
      <w:pPr>
        <w:rPr>
          <w:sz w:val="48"/>
          <w:szCs w:val="48"/>
        </w:rPr>
      </w:pPr>
    </w:p>
    <w:p>
      <w:pPr>
        <w:rPr>
          <w:sz w:val="48"/>
          <w:szCs w:val="48"/>
        </w:rPr>
      </w:pPr>
    </w:p>
    <w:p>
      <w:pPr>
        <w:rPr>
          <w:sz w:val="48"/>
          <w:szCs w:val="48"/>
        </w:rPr>
      </w:pPr>
    </w:p>
    <w:p>
      <w:pPr>
        <w:rPr>
          <w:sz w:val="48"/>
          <w:szCs w:val="48"/>
        </w:rPr>
      </w:pPr>
      <w:r>
        <w:rPr>
          <w:sz w:val="48"/>
          <w:szCs w:val="48"/>
        </w:rPr>
        <w:br w:type="page"/>
      </w:r>
    </w:p>
    <w:p>
      <w:pPr>
        <w:rPr>
          <w:sz w:val="48"/>
          <w:szCs w:val="48"/>
        </w:rPr>
      </w:pPr>
    </w:p>
    <w:p>
      <w:pPr>
        <w:spacing w:line="360" w:lineRule="auto"/>
        <w:rPr>
          <w:rFonts w:ascii="宋体"/>
          <w:szCs w:val="21"/>
        </w:rPr>
      </w:pPr>
      <w:r>
        <w:rPr>
          <w:sz w:val="48"/>
          <w:szCs w:val="48"/>
        </w:rPr>
        <w:br w:type="page"/>
      </w:r>
    </w:p>
    <w:p>
      <w:pPr>
        <w:jc w:val="center"/>
        <w:rPr>
          <w:b/>
          <w:sz w:val="32"/>
          <w:szCs w:val="32"/>
        </w:rPr>
      </w:pPr>
      <w:bookmarkStart w:id="14" w:name="_Toc497235181"/>
      <w:bookmarkStart w:id="15" w:name="_Toc480581385"/>
      <w:bookmarkStart w:id="16" w:name="_Toc342296129"/>
      <w:bookmarkStart w:id="17" w:name="_Toc486579948"/>
      <w:bookmarkStart w:id="18" w:name="_Toc490222395"/>
    </w:p>
    <w:p>
      <w:pPr>
        <w:jc w:val="center"/>
        <w:rPr>
          <w:b/>
          <w:bCs/>
          <w:sz w:val="32"/>
          <w:szCs w:val="32"/>
        </w:rPr>
      </w:pPr>
      <w:r>
        <w:rPr>
          <w:rFonts w:hint="eastAsia"/>
          <w:b/>
          <w:sz w:val="32"/>
          <w:szCs w:val="32"/>
        </w:rPr>
        <w:t>第一章</w:t>
      </w:r>
      <w:r>
        <w:rPr>
          <w:b/>
          <w:sz w:val="32"/>
          <w:szCs w:val="32"/>
        </w:rPr>
        <w:t xml:space="preserve"> </w:t>
      </w:r>
      <w:r>
        <w:rPr>
          <w:rFonts w:hint="eastAsia"/>
          <w:b/>
          <w:sz w:val="32"/>
          <w:szCs w:val="32"/>
        </w:rPr>
        <w:t>招标公告（未进行资格预审）</w:t>
      </w:r>
      <w:bookmarkEnd w:id="14"/>
      <w:bookmarkEnd w:id="15"/>
      <w:bookmarkEnd w:id="16"/>
      <w:bookmarkEnd w:id="17"/>
      <w:bookmarkEnd w:id="18"/>
    </w:p>
    <w:p>
      <w:pPr>
        <w:tabs>
          <w:tab w:val="center" w:pos="4153"/>
        </w:tabs>
        <w:spacing w:line="440" w:lineRule="exact"/>
        <w:rPr>
          <w:rFonts w:eastAsia="黑体"/>
          <w:sz w:val="17"/>
          <w:szCs w:val="17"/>
        </w:rPr>
      </w:pPr>
    </w:p>
    <w:p>
      <w:pPr>
        <w:spacing w:before="120" w:beforeLines="50" w:after="120" w:afterLines="50" w:line="400" w:lineRule="exact"/>
        <w:jc w:val="center"/>
        <w:rPr>
          <w:rFonts w:eastAsia="黑体"/>
          <w:sz w:val="28"/>
          <w:szCs w:val="28"/>
        </w:rPr>
      </w:pPr>
      <w:r>
        <w:rPr>
          <w:rFonts w:hint="eastAsia" w:ascii="宋体" w:hAnsi="宋体"/>
          <w:b/>
          <w:sz w:val="28"/>
          <w:szCs w:val="28"/>
        </w:rPr>
        <w:t>施工招标公告</w:t>
      </w:r>
    </w:p>
    <w:p>
      <w:pPr>
        <w:spacing w:line="400" w:lineRule="exact"/>
        <w:jc w:val="center"/>
        <w:rPr>
          <w:rFonts w:eastAsia="黑体"/>
          <w:sz w:val="28"/>
          <w:szCs w:val="28"/>
        </w:rPr>
      </w:pPr>
    </w:p>
    <w:p>
      <w:pPr>
        <w:pStyle w:val="144"/>
        <w:keepNext w:val="0"/>
        <w:keepLines w:val="0"/>
        <w:spacing w:before="120" w:after="120"/>
      </w:pPr>
      <w:bookmarkStart w:id="19" w:name="_Toc486579949"/>
      <w:bookmarkStart w:id="20" w:name="_Toc342296130"/>
      <w:bookmarkStart w:id="21" w:name="_Toc480581386"/>
      <w:bookmarkStart w:id="22" w:name="_Toc490222396"/>
      <w:bookmarkStart w:id="23" w:name="_Toc117350318"/>
      <w:bookmarkStart w:id="24" w:name="_Toc489279764"/>
      <w:r>
        <w:t>1.</w:t>
      </w:r>
      <w:r>
        <w:rPr>
          <w:rFonts w:hint="eastAsia"/>
        </w:rPr>
        <w:t>招标条件</w:t>
      </w:r>
      <w:bookmarkEnd w:id="19"/>
      <w:bookmarkEnd w:id="20"/>
      <w:bookmarkEnd w:id="21"/>
      <w:bookmarkEnd w:id="22"/>
      <w:bookmarkEnd w:id="23"/>
      <w:bookmarkEnd w:id="24"/>
    </w:p>
    <w:p>
      <w:pPr>
        <w:spacing w:line="360" w:lineRule="auto"/>
        <w:ind w:firstLine="420"/>
        <w:rPr>
          <w:szCs w:val="21"/>
        </w:rPr>
      </w:pPr>
      <w:r>
        <w:rPr>
          <w:rFonts w:hint="eastAsia"/>
          <w:szCs w:val="21"/>
        </w:rPr>
        <w:t>本工程招标条件</w:t>
      </w:r>
      <w:r>
        <w:rPr>
          <w:rFonts w:hint="eastAsia" w:ascii="黑体" w:hAnsi="黑体" w:eastAsia="黑体"/>
          <w:szCs w:val="21"/>
        </w:rPr>
        <w:t>见招标公告专用部分</w:t>
      </w:r>
      <w:r>
        <w:rPr>
          <w:rFonts w:hint="eastAsia" w:ascii="宋体" w:hAnsi="宋体"/>
          <w:szCs w:val="21"/>
        </w:rPr>
        <w:t>。</w:t>
      </w:r>
    </w:p>
    <w:p>
      <w:pPr>
        <w:pStyle w:val="144"/>
        <w:keepNext w:val="0"/>
        <w:keepLines w:val="0"/>
        <w:spacing w:before="120" w:after="120"/>
      </w:pPr>
      <w:bookmarkStart w:id="25" w:name="_Toc480581387"/>
      <w:bookmarkStart w:id="26" w:name="_Toc490222397"/>
      <w:bookmarkStart w:id="27" w:name="_Toc342296131"/>
      <w:bookmarkStart w:id="28" w:name="_Toc486579950"/>
      <w:bookmarkStart w:id="29" w:name="_Toc489279765"/>
      <w:bookmarkStart w:id="30" w:name="_Toc117350319"/>
      <w:r>
        <w:t>2.</w:t>
      </w:r>
      <w:r>
        <w:rPr>
          <w:rFonts w:hint="eastAsia"/>
        </w:rPr>
        <w:t>工程概况与招标范围</w:t>
      </w:r>
      <w:bookmarkEnd w:id="25"/>
      <w:bookmarkEnd w:id="26"/>
      <w:bookmarkEnd w:id="27"/>
      <w:bookmarkEnd w:id="28"/>
      <w:bookmarkEnd w:id="29"/>
      <w:bookmarkEnd w:id="30"/>
    </w:p>
    <w:p>
      <w:pPr>
        <w:spacing w:line="360" w:lineRule="auto"/>
        <w:ind w:firstLine="420"/>
        <w:rPr>
          <w:rFonts w:ascii="宋体"/>
        </w:rPr>
      </w:pPr>
      <w:r>
        <w:rPr>
          <w:rFonts w:ascii="宋体" w:hAnsi="宋体"/>
          <w:szCs w:val="21"/>
        </w:rPr>
        <w:t xml:space="preserve">2.1  </w:t>
      </w:r>
      <w:r>
        <w:rPr>
          <w:rFonts w:hint="eastAsia" w:ascii="宋体" w:hAnsi="宋体"/>
        </w:rPr>
        <w:t>本</w:t>
      </w:r>
      <w:r>
        <w:rPr>
          <w:rFonts w:hint="eastAsia"/>
          <w:szCs w:val="21"/>
        </w:rPr>
        <w:t>工程</w:t>
      </w:r>
      <w:r>
        <w:rPr>
          <w:rFonts w:hint="eastAsia" w:ascii="宋体" w:hAnsi="宋体"/>
        </w:rPr>
        <w:t>的建设地点</w:t>
      </w:r>
      <w:r>
        <w:rPr>
          <w:rFonts w:hint="eastAsia" w:ascii="黑体" w:hAnsi="黑体" w:eastAsia="黑体"/>
          <w:szCs w:val="21"/>
        </w:rPr>
        <w:t>见招标公告专用部分</w:t>
      </w:r>
      <w:r>
        <w:rPr>
          <w:rFonts w:hint="eastAsia"/>
          <w:szCs w:val="21"/>
        </w:rPr>
        <w:t>。</w:t>
      </w:r>
    </w:p>
    <w:p>
      <w:pPr>
        <w:spacing w:line="360" w:lineRule="auto"/>
        <w:ind w:firstLine="424" w:firstLineChars="202"/>
        <w:rPr>
          <w:rFonts w:ascii="宋体"/>
        </w:rPr>
      </w:pPr>
      <w:r>
        <w:rPr>
          <w:rFonts w:ascii="宋体" w:hAnsi="宋体"/>
          <w:szCs w:val="21"/>
        </w:rPr>
        <w:t xml:space="preserve">2.2  </w:t>
      </w:r>
      <w:r>
        <w:rPr>
          <w:rFonts w:hint="eastAsia" w:ascii="宋体" w:hAnsi="宋体"/>
        </w:rPr>
        <w:t>本</w:t>
      </w:r>
      <w:r>
        <w:rPr>
          <w:rFonts w:hint="eastAsia"/>
          <w:szCs w:val="21"/>
        </w:rPr>
        <w:t>工程</w:t>
      </w:r>
      <w:r>
        <w:rPr>
          <w:rFonts w:hint="eastAsia" w:ascii="宋体" w:hAnsi="宋体"/>
        </w:rPr>
        <w:t>的建设规模及合同估算价</w:t>
      </w:r>
      <w:r>
        <w:rPr>
          <w:rFonts w:hint="eastAsia" w:ascii="黑体" w:hAnsi="黑体" w:eastAsia="黑体"/>
          <w:szCs w:val="21"/>
        </w:rPr>
        <w:t>见招标公告专用部分</w:t>
      </w:r>
      <w:r>
        <w:rPr>
          <w:rFonts w:hint="eastAsia"/>
          <w:szCs w:val="21"/>
        </w:rPr>
        <w:t>。</w:t>
      </w:r>
    </w:p>
    <w:p>
      <w:pPr>
        <w:spacing w:line="360" w:lineRule="auto"/>
        <w:ind w:firstLine="424" w:firstLineChars="202"/>
        <w:rPr>
          <w:rFonts w:ascii="宋体"/>
        </w:rPr>
      </w:pPr>
      <w:r>
        <w:rPr>
          <w:rFonts w:ascii="宋体" w:hAnsi="宋体"/>
          <w:szCs w:val="21"/>
        </w:rPr>
        <w:t xml:space="preserve">2.3  </w:t>
      </w:r>
      <w:r>
        <w:rPr>
          <w:rFonts w:hint="eastAsia" w:ascii="宋体" w:hAnsi="宋体"/>
        </w:rPr>
        <w:t>本</w:t>
      </w:r>
      <w:r>
        <w:rPr>
          <w:rFonts w:hint="eastAsia"/>
          <w:szCs w:val="21"/>
        </w:rPr>
        <w:t>工程</w:t>
      </w:r>
      <w:r>
        <w:rPr>
          <w:rFonts w:hint="eastAsia" w:ascii="宋体" w:hAnsi="宋体"/>
        </w:rPr>
        <w:t>的计划工期要求</w:t>
      </w:r>
      <w:r>
        <w:rPr>
          <w:rFonts w:hint="eastAsia" w:ascii="黑体" w:hAnsi="黑体" w:eastAsia="黑体"/>
          <w:szCs w:val="21"/>
        </w:rPr>
        <w:t>见招标公告专用部分</w:t>
      </w:r>
      <w:r>
        <w:rPr>
          <w:rFonts w:hint="eastAsia"/>
          <w:szCs w:val="21"/>
        </w:rPr>
        <w:t>。</w:t>
      </w:r>
    </w:p>
    <w:p>
      <w:pPr>
        <w:spacing w:line="360" w:lineRule="auto"/>
        <w:ind w:firstLine="424" w:firstLineChars="202"/>
        <w:rPr>
          <w:rFonts w:ascii="宋体"/>
          <w:u w:val="single"/>
        </w:rPr>
      </w:pPr>
      <w:r>
        <w:rPr>
          <w:rFonts w:ascii="宋体" w:hAnsi="宋体"/>
          <w:szCs w:val="21"/>
        </w:rPr>
        <w:t xml:space="preserve">2.4  </w:t>
      </w:r>
      <w:r>
        <w:rPr>
          <w:rFonts w:hint="eastAsia" w:ascii="宋体" w:hAnsi="宋体"/>
          <w:szCs w:val="21"/>
        </w:rPr>
        <w:t>本工程</w:t>
      </w:r>
      <w:r>
        <w:rPr>
          <w:rFonts w:hint="eastAsia" w:ascii="宋体" w:hAnsi="宋体"/>
        </w:rPr>
        <w:t>招标范围</w:t>
      </w:r>
      <w:r>
        <w:rPr>
          <w:rFonts w:hint="eastAsia" w:ascii="黑体" w:hAnsi="黑体" w:eastAsia="黑体"/>
          <w:szCs w:val="21"/>
        </w:rPr>
        <w:t>见招标公告专用部分</w:t>
      </w:r>
      <w:r>
        <w:rPr>
          <w:rFonts w:hint="eastAsia"/>
          <w:szCs w:val="21"/>
        </w:rPr>
        <w:t>。</w:t>
      </w:r>
    </w:p>
    <w:p>
      <w:pPr>
        <w:spacing w:line="360" w:lineRule="auto"/>
        <w:ind w:firstLine="424" w:firstLineChars="202"/>
        <w:rPr>
          <w:rFonts w:ascii="宋体"/>
          <w:u w:val="single"/>
        </w:rPr>
      </w:pPr>
      <w:r>
        <w:rPr>
          <w:rFonts w:ascii="宋体" w:hAnsi="宋体"/>
          <w:szCs w:val="21"/>
        </w:rPr>
        <w:t xml:space="preserve">2.5  </w:t>
      </w:r>
      <w:r>
        <w:rPr>
          <w:rFonts w:hint="eastAsia" w:ascii="宋体" w:hAnsi="宋体"/>
        </w:rPr>
        <w:t>其他</w:t>
      </w:r>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31" w:name="_Toc117350320"/>
      <w:bookmarkStart w:id="32" w:name="_Toc342296132"/>
      <w:bookmarkStart w:id="33" w:name="_Toc490222398"/>
      <w:bookmarkStart w:id="34" w:name="_Toc480581388"/>
      <w:bookmarkStart w:id="35" w:name="_Toc489279766"/>
      <w:bookmarkStart w:id="36" w:name="_Toc486579951"/>
      <w:r>
        <w:t>3.</w:t>
      </w:r>
      <w:r>
        <w:rPr>
          <w:rFonts w:hint="eastAsia"/>
        </w:rPr>
        <w:t>投标人资格要求</w:t>
      </w:r>
      <w:bookmarkEnd w:id="31"/>
      <w:bookmarkEnd w:id="32"/>
      <w:bookmarkEnd w:id="33"/>
      <w:bookmarkEnd w:id="34"/>
      <w:bookmarkEnd w:id="35"/>
      <w:bookmarkEnd w:id="36"/>
    </w:p>
    <w:p>
      <w:pPr>
        <w:spacing w:line="360" w:lineRule="auto"/>
        <w:ind w:firstLine="424" w:firstLineChars="202"/>
        <w:rPr>
          <w:szCs w:val="21"/>
        </w:rPr>
      </w:pPr>
      <w:r>
        <w:rPr>
          <w:rFonts w:ascii="宋体" w:hAnsi="宋体"/>
          <w:szCs w:val="21"/>
        </w:rPr>
        <w:t xml:space="preserve">3.1  </w:t>
      </w:r>
      <w:r>
        <w:rPr>
          <w:rFonts w:hint="eastAsia"/>
          <w:szCs w:val="21"/>
        </w:rPr>
        <w:t>本工程招标要求投标人资质条件、能力具体要求</w:t>
      </w:r>
      <w:r>
        <w:rPr>
          <w:rFonts w:hint="eastAsia" w:ascii="黑体" w:hAnsi="黑体" w:eastAsia="黑体"/>
          <w:szCs w:val="21"/>
        </w:rPr>
        <w:t>见招标公告专用部分</w:t>
      </w:r>
      <w:r>
        <w:rPr>
          <w:rFonts w:hint="eastAsia"/>
          <w:szCs w:val="21"/>
        </w:rPr>
        <w:t>。</w:t>
      </w:r>
    </w:p>
    <w:p>
      <w:pPr>
        <w:spacing w:line="360" w:lineRule="auto"/>
        <w:ind w:firstLine="424" w:firstLineChars="202"/>
        <w:rPr>
          <w:rFonts w:ascii="宋体"/>
          <w:szCs w:val="21"/>
        </w:rPr>
      </w:pPr>
      <w:r>
        <w:rPr>
          <w:rFonts w:ascii="宋体" w:hAnsi="宋体"/>
          <w:szCs w:val="21"/>
        </w:rPr>
        <w:t xml:space="preserve">3.2 </w:t>
      </w:r>
      <w:r>
        <w:rPr>
          <w:szCs w:val="21"/>
        </w:rPr>
        <w:t xml:space="preserve"> </w:t>
      </w:r>
      <w:r>
        <w:rPr>
          <w:rFonts w:hint="eastAsia"/>
          <w:szCs w:val="21"/>
        </w:rPr>
        <w:t>本工程招标是否接受联合体投标及相关要求</w:t>
      </w:r>
      <w:r>
        <w:rPr>
          <w:rFonts w:hint="eastAsia" w:ascii="黑体" w:hAnsi="黑体" w:eastAsia="黑体"/>
          <w:szCs w:val="21"/>
        </w:rPr>
        <w:t>见招标公告专用部分</w:t>
      </w:r>
      <w:r>
        <w:rPr>
          <w:rFonts w:hint="eastAsia" w:ascii="宋体" w:hAnsi="宋体"/>
          <w:szCs w:val="21"/>
        </w:rPr>
        <w:t>。</w:t>
      </w:r>
    </w:p>
    <w:p>
      <w:pPr>
        <w:spacing w:line="360" w:lineRule="auto"/>
        <w:ind w:firstLine="424" w:firstLineChars="202"/>
        <w:rPr>
          <w:u w:val="single"/>
        </w:rPr>
      </w:pPr>
      <w:r>
        <w:rPr>
          <w:rFonts w:ascii="宋体" w:hAnsi="宋体"/>
          <w:szCs w:val="21"/>
        </w:rPr>
        <w:t xml:space="preserve">3.3  </w:t>
      </w:r>
      <w:r>
        <w:rPr>
          <w:rFonts w:hint="eastAsia"/>
          <w:szCs w:val="21"/>
        </w:rPr>
        <w:t>其他要求</w:t>
      </w:r>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37" w:name="_Toc480581389"/>
      <w:bookmarkStart w:id="38" w:name="_Toc342296133"/>
      <w:bookmarkStart w:id="39" w:name="_Toc486579952"/>
      <w:bookmarkStart w:id="40" w:name="_Toc117350321"/>
      <w:bookmarkStart w:id="41" w:name="_Toc489279767"/>
      <w:bookmarkStart w:id="42" w:name="_Toc490222399"/>
      <w:r>
        <w:t>4.</w:t>
      </w:r>
      <w:r>
        <w:rPr>
          <w:rFonts w:hint="eastAsia"/>
        </w:rPr>
        <w:t>信誉</w:t>
      </w:r>
      <w:bookmarkEnd w:id="37"/>
      <w:bookmarkEnd w:id="38"/>
      <w:r>
        <w:rPr>
          <w:rFonts w:hint="eastAsia"/>
        </w:rPr>
        <w:t>要求</w:t>
      </w:r>
      <w:bookmarkEnd w:id="39"/>
      <w:bookmarkEnd w:id="40"/>
      <w:bookmarkEnd w:id="41"/>
      <w:bookmarkEnd w:id="42"/>
    </w:p>
    <w:p>
      <w:pPr>
        <w:spacing w:line="360" w:lineRule="auto"/>
        <w:ind w:firstLine="420"/>
        <w:rPr>
          <w:szCs w:val="21"/>
        </w:rPr>
      </w:pPr>
      <w:r>
        <w:rPr>
          <w:rFonts w:ascii="宋体" w:hAnsi="宋体"/>
          <w:szCs w:val="21"/>
        </w:rPr>
        <w:t xml:space="preserve">4.1 </w:t>
      </w:r>
      <w:r>
        <w:rPr>
          <w:szCs w:val="21"/>
        </w:rPr>
        <w:t xml:space="preserve"> </w:t>
      </w:r>
      <w:r>
        <w:rPr>
          <w:rFonts w:hint="eastAsia"/>
          <w:szCs w:val="21"/>
        </w:rPr>
        <w:t>本工程招标对失信被执行人的惩戒方式</w:t>
      </w:r>
      <w:r>
        <w:rPr>
          <w:rFonts w:hint="eastAsia" w:ascii="黑体" w:hAnsi="黑体" w:eastAsia="黑体"/>
          <w:szCs w:val="21"/>
        </w:rPr>
        <w:t>见招标公告专用部分</w:t>
      </w:r>
      <w:r>
        <w:rPr>
          <w:rFonts w:hint="eastAsia"/>
          <w:szCs w:val="21"/>
        </w:rPr>
        <w:t>。</w:t>
      </w:r>
    </w:p>
    <w:p>
      <w:pPr>
        <w:spacing w:line="360" w:lineRule="auto"/>
        <w:ind w:firstLine="420"/>
        <w:rPr>
          <w:szCs w:val="21"/>
        </w:rPr>
      </w:pPr>
      <w:r>
        <w:rPr>
          <w:rFonts w:ascii="宋体" w:hAnsi="宋体"/>
          <w:szCs w:val="21"/>
        </w:rPr>
        <w:t>4.2</w:t>
      </w:r>
      <w:r>
        <w:rPr>
          <w:szCs w:val="21"/>
        </w:rPr>
        <w:t xml:space="preserve">  </w:t>
      </w:r>
      <w:bookmarkStart w:id="43" w:name="_Hlk113553240"/>
      <w:r>
        <w:rPr>
          <w:rFonts w:hint="eastAsia"/>
          <w:szCs w:val="21"/>
        </w:rPr>
        <w:t>本工程招标对信誉的其他要求</w:t>
      </w:r>
      <w:bookmarkEnd w:id="43"/>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44" w:name="_Toc342296134"/>
      <w:bookmarkStart w:id="45" w:name="_Toc489279768"/>
      <w:bookmarkStart w:id="46" w:name="_Toc490222400"/>
      <w:bookmarkStart w:id="47" w:name="_Toc486579953"/>
      <w:bookmarkStart w:id="48" w:name="_Toc117350322"/>
      <w:bookmarkStart w:id="49" w:name="_Toc480581390"/>
      <w:r>
        <w:t>5.</w:t>
      </w:r>
      <w:r>
        <w:rPr>
          <w:rFonts w:hint="eastAsia"/>
        </w:rPr>
        <w:t>招标文件的获取</w:t>
      </w:r>
      <w:bookmarkEnd w:id="44"/>
      <w:bookmarkEnd w:id="45"/>
      <w:bookmarkEnd w:id="46"/>
      <w:bookmarkEnd w:id="47"/>
      <w:bookmarkEnd w:id="48"/>
      <w:bookmarkEnd w:id="49"/>
    </w:p>
    <w:p>
      <w:pPr>
        <w:tabs>
          <w:tab w:val="left" w:pos="360"/>
        </w:tabs>
        <w:spacing w:line="360" w:lineRule="auto"/>
        <w:ind w:firstLine="424" w:firstLineChars="202"/>
        <w:rPr>
          <w:szCs w:val="21"/>
        </w:rPr>
      </w:pPr>
      <w:r>
        <w:rPr>
          <w:rFonts w:ascii="宋体" w:hAnsi="宋体"/>
          <w:szCs w:val="21"/>
        </w:rPr>
        <w:t xml:space="preserve">5.1  </w:t>
      </w:r>
      <w:r>
        <w:rPr>
          <w:rFonts w:hint="eastAsia"/>
          <w:szCs w:val="21"/>
        </w:rPr>
        <w:t>获取招标文件的时间及相关要求</w:t>
      </w:r>
      <w:r>
        <w:rPr>
          <w:rFonts w:hint="eastAsia" w:ascii="黑体" w:hAnsi="黑体" w:eastAsia="黑体"/>
          <w:szCs w:val="21"/>
        </w:rPr>
        <w:t>见招标公告专用部分</w:t>
      </w:r>
      <w:r>
        <w:rPr>
          <w:rFonts w:hint="eastAsia"/>
          <w:szCs w:val="21"/>
        </w:rPr>
        <w:t>。</w:t>
      </w:r>
      <w:r>
        <w:rPr>
          <w:szCs w:val="21"/>
        </w:rPr>
        <w:t xml:space="preserve"> </w:t>
      </w:r>
    </w:p>
    <w:p>
      <w:pPr>
        <w:spacing w:line="360" w:lineRule="auto"/>
        <w:ind w:firstLine="420"/>
        <w:rPr>
          <w:szCs w:val="21"/>
        </w:rPr>
      </w:pPr>
      <w:r>
        <w:rPr>
          <w:rFonts w:ascii="宋体" w:hAnsi="宋体"/>
          <w:szCs w:val="21"/>
        </w:rPr>
        <w:t>5</w:t>
      </w:r>
      <w:r>
        <w:rPr>
          <w:rFonts w:ascii="宋体"/>
          <w:szCs w:val="21"/>
        </w:rPr>
        <w:t>.</w:t>
      </w:r>
      <w:r>
        <w:rPr>
          <w:rFonts w:ascii="宋体" w:hAnsi="宋体"/>
          <w:szCs w:val="21"/>
        </w:rPr>
        <w:t xml:space="preserve">2  </w:t>
      </w:r>
      <w:r>
        <w:rPr>
          <w:rFonts w:hint="eastAsia"/>
          <w:szCs w:val="21"/>
        </w:rPr>
        <w:t>获取图纸的时间、地点及相关要求</w:t>
      </w:r>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50" w:name="_Toc342296135"/>
      <w:bookmarkStart w:id="51" w:name="_Toc117350323"/>
      <w:bookmarkStart w:id="52" w:name="_Toc489279769"/>
      <w:bookmarkStart w:id="53" w:name="_Toc490222401"/>
      <w:bookmarkStart w:id="54" w:name="_Toc486579954"/>
      <w:bookmarkStart w:id="55" w:name="_Toc480581391"/>
      <w:r>
        <w:t>6.</w:t>
      </w:r>
      <w:r>
        <w:rPr>
          <w:rFonts w:hint="eastAsia"/>
        </w:rPr>
        <w:t>投标文件的递交</w:t>
      </w:r>
      <w:bookmarkEnd w:id="50"/>
      <w:bookmarkEnd w:id="51"/>
      <w:bookmarkEnd w:id="52"/>
      <w:bookmarkEnd w:id="53"/>
      <w:bookmarkEnd w:id="54"/>
      <w:bookmarkEnd w:id="55"/>
      <w:r>
        <w:t xml:space="preserve"> </w:t>
      </w:r>
    </w:p>
    <w:p>
      <w:pPr>
        <w:spacing w:line="360" w:lineRule="auto"/>
        <w:ind w:firstLine="424" w:firstLineChars="202"/>
        <w:rPr>
          <w:szCs w:val="21"/>
        </w:rPr>
      </w:pPr>
      <w:r>
        <w:rPr>
          <w:rFonts w:hint="eastAsia"/>
          <w:szCs w:val="21"/>
        </w:rPr>
        <w:t>本工程投标文件递交的截止时间及相关要求</w:t>
      </w:r>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56" w:name="_Toc342296137"/>
      <w:bookmarkStart w:id="57" w:name="_Toc489279770"/>
      <w:bookmarkStart w:id="58" w:name="_Toc486579956"/>
      <w:bookmarkStart w:id="59" w:name="_Toc480581393"/>
      <w:bookmarkStart w:id="60" w:name="_Toc117350324"/>
      <w:bookmarkStart w:id="61" w:name="_Toc490222402"/>
      <w:r>
        <w:t>7.</w:t>
      </w:r>
      <w:r>
        <w:rPr>
          <w:rFonts w:hint="eastAsia"/>
        </w:rPr>
        <w:t>发布公告的媒介</w:t>
      </w:r>
      <w:bookmarkEnd w:id="56"/>
      <w:bookmarkEnd w:id="57"/>
      <w:bookmarkEnd w:id="58"/>
      <w:bookmarkEnd w:id="59"/>
      <w:bookmarkEnd w:id="60"/>
      <w:bookmarkEnd w:id="61"/>
      <w:bookmarkStart w:id="62" w:name="_Toc342296138"/>
    </w:p>
    <w:p>
      <w:pPr>
        <w:spacing w:line="360" w:lineRule="auto"/>
        <w:ind w:firstLine="420"/>
        <w:rPr>
          <w:szCs w:val="21"/>
        </w:rPr>
      </w:pPr>
      <w:r>
        <w:rPr>
          <w:rFonts w:hint="eastAsia"/>
          <w:szCs w:val="21"/>
        </w:rPr>
        <w:t>本工程招标同时发布公告的媒介名称</w:t>
      </w:r>
      <w:r>
        <w:rPr>
          <w:rFonts w:hint="eastAsia" w:ascii="黑体" w:hAnsi="黑体" w:eastAsia="黑体"/>
          <w:szCs w:val="21"/>
        </w:rPr>
        <w:t>见招标公告专用部分</w:t>
      </w:r>
      <w:r>
        <w:rPr>
          <w:rFonts w:hint="eastAsia"/>
          <w:szCs w:val="21"/>
        </w:rPr>
        <w:t>。</w:t>
      </w:r>
    </w:p>
    <w:p>
      <w:pPr>
        <w:pStyle w:val="144"/>
        <w:keepNext w:val="0"/>
        <w:keepLines w:val="0"/>
        <w:spacing w:before="120" w:after="120"/>
      </w:pPr>
      <w:bookmarkStart w:id="63" w:name="_Toc117350325"/>
      <w:bookmarkStart w:id="64" w:name="_Toc489279771"/>
      <w:bookmarkStart w:id="65" w:name="_Toc490222403"/>
      <w:bookmarkStart w:id="66" w:name="_Toc486579957"/>
      <w:bookmarkStart w:id="67" w:name="_Toc480581394"/>
      <w:r>
        <w:t>8.</w:t>
      </w:r>
      <w:r>
        <w:rPr>
          <w:rFonts w:hint="eastAsia"/>
        </w:rPr>
        <w:t>联系方式</w:t>
      </w:r>
      <w:bookmarkEnd w:id="62"/>
      <w:bookmarkEnd w:id="63"/>
      <w:bookmarkEnd w:id="64"/>
      <w:bookmarkEnd w:id="65"/>
      <w:bookmarkEnd w:id="66"/>
      <w:bookmarkEnd w:id="67"/>
    </w:p>
    <w:p>
      <w:pPr>
        <w:spacing w:line="360" w:lineRule="auto"/>
        <w:ind w:firstLine="420"/>
        <w:rPr>
          <w:szCs w:val="21"/>
        </w:rPr>
      </w:pPr>
      <w:r>
        <w:rPr>
          <w:rFonts w:hint="eastAsia"/>
          <w:szCs w:val="21"/>
        </w:rPr>
        <w:t>本工程招标</w:t>
      </w:r>
      <w:r>
        <w:rPr>
          <w:rFonts w:hint="eastAsia"/>
        </w:rPr>
        <w:t>联系方式</w:t>
      </w:r>
      <w:r>
        <w:rPr>
          <w:rFonts w:hint="eastAsia" w:ascii="黑体" w:hAnsi="黑体" w:eastAsia="黑体"/>
          <w:szCs w:val="21"/>
        </w:rPr>
        <w:t>见招标公告专用部分</w:t>
      </w:r>
      <w:r>
        <w:rPr>
          <w:rFonts w:hint="eastAsia"/>
          <w:szCs w:val="21"/>
        </w:rPr>
        <w:t>。</w:t>
      </w:r>
    </w:p>
    <w:p/>
    <w:p/>
    <w:p/>
    <w:p/>
    <w:p/>
    <w:p/>
    <w:p/>
    <w:p/>
    <w:p>
      <w:pPr>
        <w:sectPr>
          <w:headerReference r:id="rId13" w:type="default"/>
          <w:footerReference r:id="rId15" w:type="default"/>
          <w:headerReference r:id="rId14" w:type="even"/>
          <w:footerReference r:id="rId16" w:type="even"/>
          <w:pgSz w:w="11906" w:h="16838"/>
          <w:pgMar w:top="1440" w:right="1797" w:bottom="1440" w:left="1797" w:header="851" w:footer="992" w:gutter="0"/>
          <w:pgNumType w:start="1"/>
          <w:cols w:space="720" w:num="1"/>
          <w:docGrid w:linePitch="286" w:charSpace="0"/>
        </w:sectPr>
      </w:pPr>
    </w:p>
    <w:p/>
    <w:p>
      <w:pPr>
        <w:pStyle w:val="39"/>
        <w:spacing w:before="3600" w:beforeLines="1500"/>
        <w:rPr>
          <w:szCs w:val="44"/>
        </w:rPr>
      </w:pPr>
      <w:bookmarkStart w:id="68" w:name="_Toc490222404"/>
      <w:bookmarkStart w:id="69" w:name="_Toc117350326"/>
      <w:bookmarkStart w:id="70" w:name="_Toc489279772"/>
      <w:bookmarkStart w:id="71" w:name="_Toc486579958"/>
      <w:bookmarkStart w:id="72" w:name="_Toc241459614"/>
      <w:r>
        <w:rPr>
          <w:rFonts w:hint="eastAsia"/>
          <w:szCs w:val="44"/>
        </w:rPr>
        <w:t>第二章</w:t>
      </w:r>
      <w:r>
        <w:rPr>
          <w:szCs w:val="44"/>
        </w:rPr>
        <w:t xml:space="preserve">  </w:t>
      </w:r>
      <w:r>
        <w:rPr>
          <w:rFonts w:hint="eastAsia"/>
          <w:szCs w:val="44"/>
        </w:rPr>
        <w:t>投标人须知通用部分</w:t>
      </w:r>
      <w:bookmarkEnd w:id="68"/>
      <w:bookmarkEnd w:id="69"/>
      <w:bookmarkEnd w:id="70"/>
      <w:bookmarkEnd w:id="71"/>
    </w:p>
    <w:p>
      <w:pPr>
        <w:spacing w:line="360" w:lineRule="auto"/>
        <w:rPr>
          <w:rFonts w:ascii="宋体"/>
        </w:rPr>
      </w:pPr>
    </w:p>
    <w:p>
      <w:pPr>
        <w:widowControl/>
        <w:spacing w:line="360" w:lineRule="auto"/>
        <w:ind w:firstLine="420" w:firstLineChars="200"/>
        <w:jc w:val="left"/>
        <w:rPr>
          <w:rFonts w:ascii="宋体"/>
          <w:szCs w:val="21"/>
        </w:rPr>
      </w:pPr>
      <w:r>
        <w:rPr>
          <w:rFonts w:ascii="宋体"/>
          <w:szCs w:val="21"/>
        </w:rPr>
        <w:br w:type="page"/>
      </w:r>
    </w:p>
    <w:p>
      <w:pPr>
        <w:spacing w:line="360" w:lineRule="auto"/>
        <w:rPr>
          <w:rFonts w:ascii="宋体"/>
        </w:rPr>
      </w:pPr>
      <w:r>
        <w:rPr>
          <w:rFonts w:ascii="宋体"/>
        </w:rPr>
        <w:br w:type="page"/>
      </w:r>
      <w:bookmarkStart w:id="73" w:name="_Toc479170634"/>
      <w:bookmarkStart w:id="74" w:name="_Toc480581526"/>
    </w:p>
    <w:p>
      <w:pPr>
        <w:jc w:val="center"/>
        <w:rPr>
          <w:b/>
          <w:szCs w:val="21"/>
        </w:rPr>
      </w:pPr>
      <w:bookmarkStart w:id="75" w:name="_Toc486579959"/>
      <w:bookmarkStart w:id="76" w:name="_Toc497235191"/>
      <w:bookmarkStart w:id="77" w:name="_Toc490222405"/>
    </w:p>
    <w:p>
      <w:pPr>
        <w:jc w:val="center"/>
        <w:rPr>
          <w:b/>
          <w:sz w:val="32"/>
          <w:szCs w:val="32"/>
        </w:rPr>
      </w:pPr>
      <w:r>
        <w:rPr>
          <w:rFonts w:hint="eastAsia"/>
          <w:b/>
          <w:sz w:val="32"/>
          <w:szCs w:val="32"/>
        </w:rPr>
        <w:t>第二章</w:t>
      </w:r>
      <w:r>
        <w:rPr>
          <w:b/>
          <w:sz w:val="32"/>
          <w:szCs w:val="32"/>
        </w:rPr>
        <w:t xml:space="preserve"> </w:t>
      </w:r>
      <w:r>
        <w:rPr>
          <w:rFonts w:hint="eastAsia"/>
          <w:b/>
          <w:sz w:val="32"/>
          <w:szCs w:val="32"/>
        </w:rPr>
        <w:t>投标人须知</w:t>
      </w:r>
      <w:bookmarkEnd w:id="72"/>
      <w:bookmarkEnd w:id="73"/>
      <w:bookmarkEnd w:id="74"/>
      <w:bookmarkEnd w:id="75"/>
      <w:bookmarkEnd w:id="76"/>
      <w:bookmarkEnd w:id="77"/>
    </w:p>
    <w:p>
      <w:pPr>
        <w:spacing w:line="360" w:lineRule="auto"/>
        <w:jc w:val="left"/>
        <w:rPr>
          <w:rFonts w:eastAsia="黑体"/>
          <w:sz w:val="28"/>
          <w:szCs w:val="28"/>
          <w:u w:val="single"/>
        </w:rPr>
      </w:pPr>
    </w:p>
    <w:p>
      <w:pPr>
        <w:pStyle w:val="144"/>
        <w:spacing w:before="120" w:after="120"/>
      </w:pPr>
      <w:bookmarkStart w:id="78" w:name="_Toc342294713"/>
      <w:bookmarkStart w:id="79" w:name="_Toc489279773"/>
      <w:bookmarkStart w:id="80" w:name="_Toc152045529"/>
      <w:bookmarkStart w:id="81" w:name="_Toc490222406"/>
      <w:bookmarkStart w:id="82" w:name="_Toc117350327"/>
      <w:bookmarkStart w:id="83" w:name="_Toc152042305"/>
      <w:bookmarkStart w:id="84" w:name="_Toc486579960"/>
      <w:bookmarkStart w:id="85" w:name="_Toc333600682"/>
      <w:bookmarkStart w:id="86" w:name="_Toc338943699"/>
      <w:bookmarkStart w:id="87" w:name="_Toc144974497"/>
      <w:bookmarkStart w:id="88" w:name="_Toc333599658"/>
      <w:bookmarkStart w:id="89" w:name="_Toc349730840"/>
      <w:bookmarkStart w:id="90" w:name="_Toc482197510"/>
      <w:bookmarkStart w:id="91" w:name="_Toc338944604"/>
      <w:bookmarkStart w:id="92" w:name="_Toc179632546"/>
      <w:bookmarkStart w:id="93" w:name="_Toc429569099"/>
      <w:bookmarkStart w:id="94" w:name="_Toc342296161"/>
      <w:bookmarkStart w:id="95" w:name="_Toc152045581"/>
      <w:bookmarkStart w:id="96" w:name="_Toc152042358"/>
      <w:bookmarkStart w:id="97" w:name="_Toc241459631"/>
      <w:bookmarkStart w:id="98" w:name="_Toc179632599"/>
      <w:bookmarkStart w:id="99" w:name="_Toc144974548"/>
      <w:r>
        <w:t>1.</w:t>
      </w:r>
      <w:r>
        <w:rPr>
          <w:rFonts w:hint="eastAsia"/>
        </w:rPr>
        <w:t>总则</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pStyle w:val="155"/>
        <w:spacing w:before="120" w:after="120"/>
      </w:pPr>
      <w:bookmarkStart w:id="100" w:name="_Toc486579961"/>
      <w:bookmarkStart w:id="101" w:name="_Toc144974498"/>
      <w:bookmarkStart w:id="102" w:name="_Toc179632547"/>
      <w:bookmarkStart w:id="103" w:name="_Toc333587853"/>
      <w:bookmarkStart w:id="104" w:name="_Toc349730841"/>
      <w:bookmarkStart w:id="105" w:name="_Toc152042306"/>
      <w:bookmarkStart w:id="106" w:name="_Toc489279774"/>
      <w:bookmarkStart w:id="107" w:name="_Toc342296162"/>
      <w:bookmarkStart w:id="108" w:name="_Toc117350328"/>
      <w:bookmarkStart w:id="109" w:name="_Toc338944605"/>
      <w:bookmarkStart w:id="110" w:name="_Toc490222407"/>
      <w:bookmarkStart w:id="111" w:name="_Toc333599659"/>
      <w:bookmarkStart w:id="112" w:name="_Toc482197511"/>
      <w:bookmarkStart w:id="113" w:name="_Toc152045530"/>
      <w:bookmarkStart w:id="114" w:name="_Toc333600683"/>
      <w:bookmarkStart w:id="115" w:name="_Toc338943700"/>
      <w:bookmarkStart w:id="116" w:name="_Toc429569100"/>
      <w:bookmarkStart w:id="117" w:name="_Toc342294714"/>
      <w:r>
        <w:t xml:space="preserve">1.1  </w:t>
      </w:r>
      <w:r>
        <w:rPr>
          <w:rFonts w:hint="eastAsia"/>
        </w:rPr>
        <w:t>工程概况</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spacing w:line="360" w:lineRule="auto"/>
        <w:ind w:firstLine="420" w:firstLineChars="200"/>
        <w:rPr>
          <w:rFonts w:ascii="宋体"/>
        </w:rPr>
      </w:pPr>
      <w:r>
        <w:rPr>
          <w:rFonts w:ascii="宋体" w:hAnsi="宋体"/>
        </w:rPr>
        <w:t xml:space="preserve">1.1.1  </w:t>
      </w:r>
      <w:r>
        <w:rPr>
          <w:rFonts w:hint="eastAsia" w:ascii="宋体" w:hAnsi="宋体"/>
        </w:rPr>
        <w:t>根据《中华人民共和国招标投标法》《中华人民共和国招标投标法实施条例》等有关法律、法规和规章的规定，本工程已具备招标条件，现对本工程施工进行招标。</w:t>
      </w:r>
    </w:p>
    <w:p>
      <w:pPr>
        <w:spacing w:line="360" w:lineRule="auto"/>
        <w:ind w:firstLine="420" w:firstLineChars="200"/>
        <w:rPr>
          <w:rFonts w:ascii="宋体"/>
        </w:rPr>
      </w:pPr>
      <w:r>
        <w:rPr>
          <w:rFonts w:ascii="宋体" w:hAnsi="宋体"/>
        </w:rPr>
        <w:t xml:space="preserve">1.1.2  </w:t>
      </w:r>
      <w:r>
        <w:rPr>
          <w:rFonts w:hint="eastAsia" w:ascii="宋体" w:hAnsi="宋体"/>
        </w:rPr>
        <w:t>本工程招标人</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1.1.3  </w:t>
      </w:r>
      <w:r>
        <w:rPr>
          <w:rFonts w:hint="eastAsia" w:ascii="宋体" w:hAnsi="宋体"/>
        </w:rPr>
        <w:t>本工程招标代理机构</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1.1.4  </w:t>
      </w:r>
      <w:r>
        <w:rPr>
          <w:rFonts w:hint="eastAsia" w:ascii="宋体" w:hAnsi="宋体"/>
        </w:rPr>
        <w:t>本工程名称</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1.1.5  </w:t>
      </w:r>
      <w:r>
        <w:rPr>
          <w:rFonts w:hint="eastAsia" w:ascii="宋体" w:hAnsi="宋体"/>
        </w:rPr>
        <w:t>本工程建设规模</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1.1.6  </w:t>
      </w:r>
      <w:r>
        <w:rPr>
          <w:rFonts w:hint="eastAsia" w:ascii="宋体" w:hAnsi="宋体"/>
        </w:rPr>
        <w:t>本工程建设地点</w:t>
      </w:r>
      <w:r>
        <w:rPr>
          <w:rFonts w:hint="eastAsia" w:ascii="黑体" w:hAnsi="黑体" w:eastAsia="黑体"/>
        </w:rPr>
        <w:t>见投标人须知专用部分</w:t>
      </w:r>
      <w:r>
        <w:rPr>
          <w:rFonts w:hint="eastAsia" w:ascii="宋体" w:hAnsi="宋体"/>
        </w:rPr>
        <w:t>。</w:t>
      </w:r>
    </w:p>
    <w:p>
      <w:pPr>
        <w:pStyle w:val="155"/>
        <w:spacing w:before="120" w:after="120"/>
      </w:pPr>
      <w:bookmarkStart w:id="118" w:name="_Toc489279775"/>
      <w:bookmarkStart w:id="119" w:name="_Toc117350329"/>
      <w:bookmarkStart w:id="120" w:name="_Toc482197512"/>
      <w:bookmarkStart w:id="121" w:name="_Toc338944606"/>
      <w:bookmarkStart w:id="122" w:name="_Toc342296163"/>
      <w:bookmarkStart w:id="123" w:name="_Toc486579962"/>
      <w:bookmarkStart w:id="124" w:name="_Toc152042307"/>
      <w:bookmarkStart w:id="125" w:name="_Toc152045531"/>
      <w:bookmarkStart w:id="126" w:name="_Toc349730842"/>
      <w:bookmarkStart w:id="127" w:name="_Toc333587854"/>
      <w:bookmarkStart w:id="128" w:name="_Toc490222408"/>
      <w:bookmarkStart w:id="129" w:name="_Toc342294715"/>
      <w:bookmarkStart w:id="130" w:name="_Toc333599660"/>
      <w:bookmarkStart w:id="131" w:name="_Toc144974499"/>
      <w:bookmarkStart w:id="132" w:name="_Toc338943701"/>
      <w:bookmarkStart w:id="133" w:name="_Toc429569101"/>
      <w:bookmarkStart w:id="134" w:name="_Toc179632548"/>
      <w:bookmarkStart w:id="135" w:name="_Toc333600684"/>
      <w:r>
        <w:t xml:space="preserve">1.2  </w:t>
      </w:r>
      <w:r>
        <w:rPr>
          <w:rFonts w:hint="eastAsia"/>
        </w:rPr>
        <w:t>资金来源和落实情况</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spacing w:line="360" w:lineRule="auto"/>
        <w:ind w:firstLine="420" w:firstLineChars="200"/>
        <w:rPr>
          <w:rFonts w:ascii="宋体"/>
        </w:rPr>
      </w:pPr>
      <w:r>
        <w:rPr>
          <w:rFonts w:ascii="宋体" w:hAnsi="宋体"/>
        </w:rPr>
        <w:t xml:space="preserve">1.2.1  </w:t>
      </w:r>
      <w:r>
        <w:rPr>
          <w:rFonts w:hint="eastAsia" w:ascii="宋体" w:hAnsi="宋体"/>
        </w:rPr>
        <w:t>本工程的资金来源</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1.2.2  </w:t>
      </w:r>
      <w:r>
        <w:rPr>
          <w:rFonts w:hint="eastAsia" w:ascii="宋体" w:hAnsi="宋体"/>
        </w:rPr>
        <w:t>本工程的出资比例</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1.2.3  </w:t>
      </w:r>
      <w:r>
        <w:rPr>
          <w:rFonts w:hint="eastAsia" w:ascii="宋体" w:hAnsi="宋体"/>
        </w:rPr>
        <w:t>本工程的资金落实情况</w:t>
      </w:r>
      <w:r>
        <w:rPr>
          <w:rFonts w:hint="eastAsia" w:ascii="黑体" w:hAnsi="黑体" w:eastAsia="黑体"/>
        </w:rPr>
        <w:t>见投标人须知专用部分</w:t>
      </w:r>
      <w:r>
        <w:rPr>
          <w:rFonts w:hint="eastAsia" w:ascii="宋体" w:hAnsi="宋体"/>
        </w:rPr>
        <w:t>。</w:t>
      </w:r>
    </w:p>
    <w:p>
      <w:pPr>
        <w:pStyle w:val="155"/>
        <w:spacing w:before="120" w:after="120"/>
      </w:pPr>
      <w:bookmarkStart w:id="136" w:name="_Toc490222409"/>
      <w:bookmarkStart w:id="137" w:name="_Toc489279776"/>
      <w:bookmarkStart w:id="138" w:name="_Toc429569102"/>
      <w:bookmarkStart w:id="139" w:name="_Toc179632549"/>
      <w:bookmarkStart w:id="140" w:name="_Toc482197513"/>
      <w:bookmarkStart w:id="141" w:name="_Toc144974500"/>
      <w:bookmarkStart w:id="142" w:name="_Toc117350330"/>
      <w:bookmarkStart w:id="143" w:name="_Toc333599661"/>
      <w:bookmarkStart w:id="144" w:name="_Toc333587855"/>
      <w:bookmarkStart w:id="145" w:name="_Toc152042308"/>
      <w:bookmarkStart w:id="146" w:name="_Toc486579963"/>
      <w:bookmarkStart w:id="147" w:name="_Toc349730843"/>
      <w:bookmarkStart w:id="148" w:name="_Toc342296164"/>
      <w:bookmarkStart w:id="149" w:name="_Toc333600685"/>
      <w:bookmarkStart w:id="150" w:name="_Toc152045532"/>
      <w:bookmarkStart w:id="151" w:name="_Toc338944607"/>
      <w:bookmarkStart w:id="152" w:name="_Toc342294716"/>
      <w:bookmarkStart w:id="153" w:name="_Toc338943702"/>
      <w:r>
        <w:t xml:space="preserve">1.3  </w:t>
      </w:r>
      <w:r>
        <w:rPr>
          <w:rFonts w:hint="eastAsia"/>
        </w:rPr>
        <w:t>招标范围、计划工期、质量和其他要求</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420" w:firstLineChars="200"/>
        <w:rPr>
          <w:rFonts w:ascii="宋体"/>
        </w:rPr>
      </w:pPr>
      <w:r>
        <w:rPr>
          <w:rFonts w:ascii="宋体" w:hAnsi="宋体"/>
        </w:rPr>
        <w:t xml:space="preserve">1.3.1  </w:t>
      </w:r>
      <w:r>
        <w:rPr>
          <w:rFonts w:hint="eastAsia" w:ascii="宋体" w:hAnsi="宋体"/>
        </w:rPr>
        <w:t>本工程招标范围</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1.3.2  </w:t>
      </w:r>
      <w:r>
        <w:rPr>
          <w:rFonts w:hint="eastAsia" w:ascii="宋体" w:hAnsi="宋体"/>
        </w:rPr>
        <w:t>本工程的计划工期</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1.3.3  </w:t>
      </w:r>
      <w:r>
        <w:rPr>
          <w:rFonts w:hint="eastAsia" w:ascii="宋体" w:hAnsi="宋体"/>
        </w:rPr>
        <w:t>本工程的质量要求</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1.3.4  </w:t>
      </w:r>
      <w:r>
        <w:rPr>
          <w:rFonts w:hint="eastAsia" w:ascii="宋体" w:hAnsi="宋体"/>
        </w:rPr>
        <w:t>本工程的其他要求</w:t>
      </w:r>
      <w:r>
        <w:rPr>
          <w:rFonts w:hint="eastAsia" w:ascii="黑体" w:hAnsi="黑体" w:eastAsia="黑体"/>
        </w:rPr>
        <w:t>见投标人须知专用部分</w:t>
      </w:r>
      <w:r>
        <w:rPr>
          <w:rFonts w:hint="eastAsia" w:ascii="宋体" w:hAnsi="宋体"/>
        </w:rPr>
        <w:t>。</w:t>
      </w:r>
    </w:p>
    <w:p>
      <w:pPr>
        <w:pStyle w:val="155"/>
        <w:spacing w:before="120" w:after="120"/>
      </w:pPr>
      <w:bookmarkStart w:id="154" w:name="_Toc117350331"/>
      <w:bookmarkStart w:id="155" w:name="_Toc342296166"/>
      <w:bookmarkStart w:id="156" w:name="_Toc338943704"/>
      <w:bookmarkStart w:id="157" w:name="_Toc179632551"/>
      <w:bookmarkStart w:id="158" w:name="_Toc489279777"/>
      <w:bookmarkStart w:id="159" w:name="_Toc333600687"/>
      <w:bookmarkStart w:id="160" w:name="_Toc429569104"/>
      <w:bookmarkStart w:id="161" w:name="_Toc144974502"/>
      <w:bookmarkStart w:id="162" w:name="_Toc349730845"/>
      <w:bookmarkStart w:id="163" w:name="_Toc338944609"/>
      <w:bookmarkStart w:id="164" w:name="_Toc486579964"/>
      <w:bookmarkStart w:id="165" w:name="_Toc482197514"/>
      <w:bookmarkStart w:id="166" w:name="_Toc152042310"/>
      <w:bookmarkStart w:id="167" w:name="_Toc490222410"/>
      <w:bookmarkStart w:id="168" w:name="_Toc342294718"/>
      <w:bookmarkStart w:id="169" w:name="_Toc333599663"/>
      <w:bookmarkStart w:id="170" w:name="_Toc333587857"/>
      <w:bookmarkStart w:id="171" w:name="_Toc152045534"/>
      <w:r>
        <w:t xml:space="preserve">1.4  </w:t>
      </w:r>
      <w:r>
        <w:rPr>
          <w:rFonts w:hint="eastAsia"/>
        </w:rPr>
        <w:t>投标人资格要求</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spacing w:line="360" w:lineRule="auto"/>
        <w:ind w:firstLine="420" w:firstLineChars="200"/>
        <w:rPr>
          <w:rFonts w:ascii="宋体"/>
        </w:rPr>
      </w:pPr>
      <w:r>
        <w:rPr>
          <w:rFonts w:ascii="宋体" w:hAnsi="宋体"/>
        </w:rPr>
        <w:t xml:space="preserve">1.4.1  </w:t>
      </w:r>
      <w:r>
        <w:rPr>
          <w:rFonts w:hint="eastAsia" w:ascii="宋体" w:hAnsi="宋体"/>
        </w:rPr>
        <w:t>投标人应具备承担本工程施工的资质条件、能力。</w:t>
      </w:r>
    </w:p>
    <w:p>
      <w:pPr>
        <w:spacing w:line="360" w:lineRule="auto"/>
        <w:ind w:firstLine="424" w:firstLineChars="202"/>
        <w:rPr>
          <w:rFonts w:ascii="宋体"/>
        </w:rPr>
      </w:pPr>
      <w:r>
        <w:rPr>
          <w:rFonts w:hint="eastAsia" w:ascii="宋体" w:hAnsi="宋体"/>
        </w:rPr>
        <w:t>（</w:t>
      </w:r>
      <w:r>
        <w:rPr>
          <w:rFonts w:ascii="宋体" w:hAnsi="宋体"/>
        </w:rPr>
        <w:t>1</w:t>
      </w:r>
      <w:r>
        <w:rPr>
          <w:rFonts w:hint="eastAsia" w:ascii="宋体" w:hAnsi="宋体"/>
        </w:rPr>
        <w:t>）资质条件</w:t>
      </w:r>
      <w:r>
        <w:rPr>
          <w:rFonts w:hint="eastAsia" w:ascii="黑体" w:hAnsi="黑体" w:eastAsia="黑体"/>
        </w:rPr>
        <w:t>见投标人须知专用部分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2</w:t>
      </w:r>
      <w:r>
        <w:rPr>
          <w:rFonts w:hint="eastAsia" w:ascii="宋体" w:hAnsi="宋体"/>
        </w:rPr>
        <w:t>）近年财务要求</w:t>
      </w:r>
      <w:r>
        <w:rPr>
          <w:rFonts w:hint="eastAsia" w:ascii="黑体" w:hAnsi="黑体" w:eastAsia="黑体"/>
        </w:rPr>
        <w:t>见投标人须知专用部分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3</w:t>
      </w:r>
      <w:r>
        <w:rPr>
          <w:rFonts w:hint="eastAsia" w:ascii="宋体" w:hAnsi="宋体"/>
        </w:rPr>
        <w:t>）业绩要求</w:t>
      </w:r>
      <w:r>
        <w:rPr>
          <w:rFonts w:hint="eastAsia" w:ascii="黑体" w:hAnsi="黑体" w:eastAsia="黑体"/>
        </w:rPr>
        <w:t>见投标人须知专用部分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4</w:t>
      </w:r>
      <w:r>
        <w:rPr>
          <w:rFonts w:hint="eastAsia" w:ascii="宋体" w:hAnsi="宋体"/>
        </w:rPr>
        <w:t>）主要项目管理人员资格要求</w:t>
      </w:r>
      <w:r>
        <w:rPr>
          <w:rFonts w:hint="eastAsia" w:ascii="黑体" w:hAnsi="黑体" w:eastAsia="黑体"/>
        </w:rPr>
        <w:t>见投标人须知专用部分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5</w:t>
      </w:r>
      <w:r>
        <w:rPr>
          <w:rFonts w:hint="eastAsia" w:ascii="宋体" w:hAnsi="宋体"/>
        </w:rPr>
        <w:t>）其他要求</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1.4.2  </w:t>
      </w:r>
      <w:r>
        <w:rPr>
          <w:rFonts w:hint="eastAsia" w:ascii="宋体" w:hAnsi="宋体"/>
        </w:rPr>
        <w:t>本工程接受联合体投标的，应符合本章第</w:t>
      </w:r>
      <w:r>
        <w:rPr>
          <w:rFonts w:ascii="宋体" w:hAnsi="宋体"/>
        </w:rPr>
        <w:t>1.4.1</w:t>
      </w:r>
      <w:r>
        <w:rPr>
          <w:rFonts w:hint="eastAsia" w:ascii="宋体" w:hAnsi="宋体"/>
        </w:rPr>
        <w:t>项和本项的要求。本工程是否接受联合体投标及联合体投标的相关要求</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1.4.3  </w:t>
      </w:r>
      <w:r>
        <w:rPr>
          <w:rFonts w:hint="eastAsia" w:ascii="宋体" w:hAnsi="宋体"/>
        </w:rPr>
        <w:t>投标人不得存在的情形见第三章“评标办法”专用部分“附件</w:t>
      </w:r>
      <w:r>
        <w:rPr>
          <w:rFonts w:ascii="宋体" w:hAnsi="宋体"/>
        </w:rPr>
        <w:t>A</w:t>
      </w:r>
      <w:r>
        <w:rPr>
          <w:rFonts w:hint="eastAsia" w:ascii="宋体" w:hAnsi="宋体"/>
        </w:rPr>
        <w:t>：否决投标条件”。</w:t>
      </w:r>
    </w:p>
    <w:p>
      <w:pPr>
        <w:pStyle w:val="155"/>
        <w:spacing w:before="120" w:after="120"/>
      </w:pPr>
      <w:bookmarkStart w:id="172" w:name="_Toc482197515"/>
      <w:bookmarkStart w:id="173" w:name="_Toc489279778"/>
      <w:bookmarkStart w:id="174" w:name="_Toc486579965"/>
      <w:bookmarkStart w:id="175" w:name="_Toc490222411"/>
      <w:bookmarkStart w:id="176" w:name="_Toc117350332"/>
      <w:r>
        <w:t xml:space="preserve">1.5  </w:t>
      </w:r>
      <w:r>
        <w:rPr>
          <w:rFonts w:hint="eastAsia"/>
        </w:rPr>
        <w:t>信誉</w:t>
      </w:r>
      <w:bookmarkEnd w:id="172"/>
      <w:r>
        <w:rPr>
          <w:rFonts w:hint="eastAsia"/>
        </w:rPr>
        <w:t>要求</w:t>
      </w:r>
      <w:bookmarkEnd w:id="173"/>
      <w:bookmarkEnd w:id="174"/>
      <w:bookmarkEnd w:id="175"/>
      <w:bookmarkEnd w:id="176"/>
    </w:p>
    <w:p>
      <w:pPr>
        <w:spacing w:line="360" w:lineRule="auto"/>
        <w:ind w:firstLine="420" w:firstLineChars="200"/>
        <w:rPr>
          <w:rFonts w:ascii="宋体"/>
        </w:rPr>
      </w:pPr>
      <w:r>
        <w:rPr>
          <w:rFonts w:ascii="宋体" w:hAnsi="宋体"/>
        </w:rPr>
        <w:t>1.5</w:t>
      </w:r>
      <w:r>
        <w:rPr>
          <w:rFonts w:ascii="宋体"/>
        </w:rPr>
        <w:t>.</w:t>
      </w:r>
      <w:r>
        <w:rPr>
          <w:rFonts w:ascii="宋体" w:hAnsi="宋体"/>
        </w:rPr>
        <w:t xml:space="preserve">1  </w:t>
      </w:r>
      <w:r>
        <w:rPr>
          <w:rFonts w:hint="eastAsia" w:ascii="宋体" w:hAnsi="宋体"/>
        </w:rPr>
        <w:t>信用标评审</w:t>
      </w:r>
    </w:p>
    <w:p>
      <w:pPr>
        <w:spacing w:line="360" w:lineRule="auto"/>
        <w:ind w:firstLine="420" w:firstLineChars="200"/>
        <w:rPr>
          <w:rFonts w:ascii="宋体"/>
        </w:rPr>
      </w:pPr>
      <w:r>
        <w:rPr>
          <w:rFonts w:hint="eastAsia" w:ascii="宋体" w:hAnsi="宋体"/>
        </w:rPr>
        <w:t>本次招标采用信用标评审的，应当按照第</w:t>
      </w:r>
      <w:r>
        <w:rPr>
          <w:rFonts w:ascii="宋体" w:hAnsi="宋体"/>
        </w:rPr>
        <w:t>5.4</w:t>
      </w:r>
      <w:r>
        <w:rPr>
          <w:rFonts w:hint="eastAsia" w:ascii="宋体" w:hAnsi="宋体"/>
        </w:rPr>
        <w:t>款的要求进行信用标信息采集。是否采用信用标评审</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1.5</w:t>
      </w:r>
      <w:r>
        <w:rPr>
          <w:rFonts w:ascii="宋体"/>
        </w:rPr>
        <w:t>.</w:t>
      </w:r>
      <w:r>
        <w:rPr>
          <w:rFonts w:ascii="宋体" w:hAnsi="宋体"/>
        </w:rPr>
        <w:t xml:space="preserve">2  </w:t>
      </w:r>
      <w:r>
        <w:rPr>
          <w:rFonts w:hint="eastAsia" w:ascii="宋体" w:hAnsi="宋体"/>
        </w:rPr>
        <w:t>失信被执行人</w:t>
      </w:r>
    </w:p>
    <w:p>
      <w:pPr>
        <w:spacing w:line="360" w:lineRule="auto"/>
        <w:ind w:firstLine="420" w:firstLineChars="200"/>
        <w:rPr>
          <w:rFonts w:ascii="宋体"/>
        </w:rPr>
      </w:pPr>
      <w:r>
        <w:rPr>
          <w:rFonts w:hint="eastAsia" w:ascii="宋体" w:hAnsi="宋体"/>
        </w:rPr>
        <w:t>失信被执行人是指被执行人具有履行生效法律文书确定的义务能力而不履行，依法被人民法院纳入失信被执行人名单的被执行人。在招投标活动中应当对纳入失信被执行人的投标人依照本招标文件明确的方法和标准采取相应惩戒，以限制或否决失信被执行人参与活动。</w:t>
      </w:r>
      <w:r>
        <w:rPr>
          <w:rFonts w:hint="eastAsia" w:ascii="宋体" w:hAnsi="宋体" w:cs="Arial"/>
          <w:szCs w:val="21"/>
        </w:rPr>
        <w:t>本招标工程采用失信被执行人惩戒方式及相关约定</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1.5.3  </w:t>
      </w:r>
      <w:r>
        <w:rPr>
          <w:rFonts w:hint="eastAsia" w:ascii="宋体" w:hAnsi="宋体"/>
          <w:szCs w:val="23"/>
        </w:rPr>
        <w:t>其他信誉要求</w:t>
      </w:r>
      <w:r>
        <w:rPr>
          <w:rFonts w:hint="eastAsia" w:ascii="黑体" w:hAnsi="黑体" w:eastAsia="黑体"/>
        </w:rPr>
        <w:t>见投标人须知专用部分</w:t>
      </w:r>
      <w:r>
        <w:rPr>
          <w:rFonts w:hint="eastAsia" w:ascii="宋体" w:hAnsi="宋体"/>
        </w:rPr>
        <w:t>。</w:t>
      </w:r>
    </w:p>
    <w:p>
      <w:pPr>
        <w:pStyle w:val="155"/>
        <w:spacing w:before="120" w:after="120"/>
      </w:pPr>
      <w:bookmarkStart w:id="177" w:name="_Toc349730846"/>
      <w:bookmarkStart w:id="178" w:name="_Toc342296167"/>
      <w:bookmarkStart w:id="179" w:name="_Toc490222412"/>
      <w:bookmarkStart w:id="180" w:name="_Toc117350333"/>
      <w:bookmarkStart w:id="181" w:name="_Toc333587858"/>
      <w:bookmarkStart w:id="182" w:name="_Toc333599664"/>
      <w:bookmarkStart w:id="183" w:name="_Toc338944610"/>
      <w:bookmarkStart w:id="184" w:name="_Toc486579966"/>
      <w:bookmarkStart w:id="185" w:name="_Toc144974503"/>
      <w:bookmarkStart w:id="186" w:name="_Toc152045535"/>
      <w:bookmarkStart w:id="187" w:name="_Toc338943705"/>
      <w:bookmarkStart w:id="188" w:name="_Toc342294719"/>
      <w:bookmarkStart w:id="189" w:name="_Toc429569105"/>
      <w:bookmarkStart w:id="190" w:name="_Toc152042311"/>
      <w:bookmarkStart w:id="191" w:name="_Toc179632552"/>
      <w:bookmarkStart w:id="192" w:name="_Toc333600688"/>
      <w:bookmarkStart w:id="193" w:name="_Toc482197516"/>
      <w:bookmarkStart w:id="194" w:name="_Toc489279779"/>
      <w:r>
        <w:t xml:space="preserve">1.6  </w:t>
      </w:r>
      <w:r>
        <w:rPr>
          <w:rFonts w:hint="eastAsia"/>
        </w:rPr>
        <w:t>费用承担</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spacing w:line="360" w:lineRule="auto"/>
        <w:ind w:firstLine="420" w:firstLineChars="200"/>
        <w:rPr>
          <w:rFonts w:ascii="宋体"/>
        </w:rPr>
      </w:pPr>
      <w:r>
        <w:rPr>
          <w:rFonts w:hint="eastAsia" w:ascii="宋体" w:hAnsi="宋体"/>
        </w:rPr>
        <w:t>投标人准备和参加投标活动发生的费用自理。</w:t>
      </w:r>
    </w:p>
    <w:p>
      <w:pPr>
        <w:pStyle w:val="155"/>
        <w:spacing w:before="120" w:after="120"/>
      </w:pPr>
      <w:bookmarkStart w:id="195" w:name="_Toc117350334"/>
      <w:bookmarkStart w:id="196" w:name="_Toc333600689"/>
      <w:bookmarkStart w:id="197" w:name="_Toc490222413"/>
      <w:bookmarkStart w:id="198" w:name="_Toc349730847"/>
      <w:bookmarkStart w:id="199" w:name="_Toc152045536"/>
      <w:bookmarkStart w:id="200" w:name="_Toc338944611"/>
      <w:bookmarkStart w:id="201" w:name="_Toc429569106"/>
      <w:bookmarkStart w:id="202" w:name="_Toc338943706"/>
      <w:bookmarkStart w:id="203" w:name="_Toc342296168"/>
      <w:bookmarkStart w:id="204" w:name="_Toc482197517"/>
      <w:bookmarkStart w:id="205" w:name="_Toc144974504"/>
      <w:bookmarkStart w:id="206" w:name="_Toc342294720"/>
      <w:bookmarkStart w:id="207" w:name="_Toc486579967"/>
      <w:bookmarkStart w:id="208" w:name="_Toc333587859"/>
      <w:bookmarkStart w:id="209" w:name="_Toc333599665"/>
      <w:bookmarkStart w:id="210" w:name="_Toc489279780"/>
      <w:bookmarkStart w:id="211" w:name="_Toc152042312"/>
      <w:bookmarkStart w:id="212" w:name="_Toc179632553"/>
      <w:r>
        <w:t xml:space="preserve">1.7  </w:t>
      </w:r>
      <w:r>
        <w:rPr>
          <w:rFonts w:hint="eastAsia"/>
        </w:rPr>
        <w:t>保密</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spacing w:line="360" w:lineRule="auto"/>
        <w:ind w:firstLine="420" w:firstLineChars="200"/>
        <w:rPr>
          <w:rFonts w:ascii="宋体"/>
        </w:rPr>
      </w:pPr>
      <w:r>
        <w:rPr>
          <w:rFonts w:hint="eastAsia" w:ascii="宋体" w:hAnsi="宋体"/>
        </w:rPr>
        <w:t>参与招标投标活动的各方应对招标文件和投标文件中的商业和技术等秘密保密，违者应对由此造成的后果承担法律责任。</w:t>
      </w:r>
    </w:p>
    <w:p>
      <w:pPr>
        <w:pStyle w:val="155"/>
        <w:spacing w:before="120" w:after="120"/>
      </w:pPr>
      <w:bookmarkStart w:id="213" w:name="_Toc144974505"/>
      <w:bookmarkStart w:id="214" w:name="_Toc338943707"/>
      <w:bookmarkStart w:id="215" w:name="_Toc117350335"/>
      <w:bookmarkStart w:id="216" w:name="_Toc333600690"/>
      <w:bookmarkStart w:id="217" w:name="_Toc338944612"/>
      <w:bookmarkStart w:id="218" w:name="_Toc152045537"/>
      <w:bookmarkStart w:id="219" w:name="_Toc349730848"/>
      <w:bookmarkStart w:id="220" w:name="_Toc482197518"/>
      <w:bookmarkStart w:id="221" w:name="_Toc429569107"/>
      <w:bookmarkStart w:id="222" w:name="_Toc489279781"/>
      <w:bookmarkStart w:id="223" w:name="_Toc179632554"/>
      <w:bookmarkStart w:id="224" w:name="_Toc333587860"/>
      <w:bookmarkStart w:id="225" w:name="_Toc152042313"/>
      <w:bookmarkStart w:id="226" w:name="_Toc342296169"/>
      <w:bookmarkStart w:id="227" w:name="_Toc486579968"/>
      <w:bookmarkStart w:id="228" w:name="_Toc342294721"/>
      <w:bookmarkStart w:id="229" w:name="_Toc333599666"/>
      <w:bookmarkStart w:id="230" w:name="_Toc490222414"/>
      <w:r>
        <w:t xml:space="preserve">1.8  </w:t>
      </w:r>
      <w:r>
        <w:rPr>
          <w:rFonts w:hint="eastAsia"/>
        </w:rPr>
        <w:t>语言</w:t>
      </w:r>
      <w:bookmarkEnd w:id="213"/>
      <w:r>
        <w:rPr>
          <w:rFonts w:hint="eastAsia"/>
        </w:rPr>
        <w:t>文字</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spacing w:line="360" w:lineRule="auto"/>
        <w:ind w:firstLine="420" w:firstLineChars="200"/>
        <w:rPr>
          <w:rFonts w:ascii="宋体"/>
        </w:rPr>
      </w:pPr>
      <w:r>
        <w:rPr>
          <w:rFonts w:hint="eastAsia" w:ascii="宋体" w:hAnsi="宋体"/>
        </w:rPr>
        <w:t>除专用术语外，与招标投标有关的语言均使用中文。必要时专用术语应附有中文注释。</w:t>
      </w:r>
    </w:p>
    <w:p>
      <w:pPr>
        <w:pStyle w:val="155"/>
        <w:spacing w:before="120" w:after="120"/>
      </w:pPr>
      <w:bookmarkStart w:id="231" w:name="_Toc117350336"/>
      <w:bookmarkStart w:id="232" w:name="_Toc152042314"/>
      <w:bookmarkStart w:id="233" w:name="_Toc490222415"/>
      <w:bookmarkStart w:id="234" w:name="_Toc342296170"/>
      <w:bookmarkStart w:id="235" w:name="_Toc152045538"/>
      <w:bookmarkStart w:id="236" w:name="_Toc333599667"/>
      <w:bookmarkStart w:id="237" w:name="_Toc333600691"/>
      <w:bookmarkStart w:id="238" w:name="_Toc338943708"/>
      <w:bookmarkStart w:id="239" w:name="_Toc333587861"/>
      <w:bookmarkStart w:id="240" w:name="_Toc482197519"/>
      <w:bookmarkStart w:id="241" w:name="_Toc429569108"/>
      <w:bookmarkStart w:id="242" w:name="_Toc349730849"/>
      <w:bookmarkStart w:id="243" w:name="_Toc342294722"/>
      <w:bookmarkStart w:id="244" w:name="_Toc179632555"/>
      <w:bookmarkStart w:id="245" w:name="_Toc144974506"/>
      <w:bookmarkStart w:id="246" w:name="_Toc489279782"/>
      <w:bookmarkStart w:id="247" w:name="_Toc338944613"/>
      <w:bookmarkStart w:id="248" w:name="_Toc486579969"/>
      <w:r>
        <w:t xml:space="preserve">1.9  </w:t>
      </w:r>
      <w:r>
        <w:rPr>
          <w:rFonts w:hint="eastAsia"/>
        </w:rPr>
        <w:t>计量单位</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spacing w:line="360" w:lineRule="auto"/>
        <w:ind w:firstLine="420" w:firstLineChars="200"/>
        <w:rPr>
          <w:rFonts w:ascii="宋体"/>
        </w:rPr>
      </w:pPr>
      <w:r>
        <w:rPr>
          <w:rFonts w:hint="eastAsia" w:ascii="宋体" w:hAnsi="宋体"/>
        </w:rPr>
        <w:t>所有计量均采用中华人民共和国法定计量单位。</w:t>
      </w:r>
    </w:p>
    <w:p>
      <w:pPr>
        <w:pStyle w:val="155"/>
        <w:spacing w:before="120" w:after="120"/>
      </w:pPr>
      <w:bookmarkStart w:id="249" w:name="_Toc482197520"/>
      <w:bookmarkStart w:id="250" w:name="_Toc489279783"/>
      <w:bookmarkStart w:id="251" w:name="_Toc490222416"/>
      <w:bookmarkStart w:id="252" w:name="_Toc338944614"/>
      <w:bookmarkStart w:id="253" w:name="_Toc117350337"/>
      <w:bookmarkStart w:id="254" w:name="_Toc349730850"/>
      <w:bookmarkStart w:id="255" w:name="_Toc429569109"/>
      <w:bookmarkStart w:id="256" w:name="_Toc333587862"/>
      <w:bookmarkStart w:id="257" w:name="_Toc333600692"/>
      <w:bookmarkStart w:id="258" w:name="_Toc152045539"/>
      <w:bookmarkStart w:id="259" w:name="_Toc179632556"/>
      <w:bookmarkStart w:id="260" w:name="_Toc342296171"/>
      <w:bookmarkStart w:id="261" w:name="_Toc333599668"/>
      <w:bookmarkStart w:id="262" w:name="_Toc152042315"/>
      <w:bookmarkStart w:id="263" w:name="_Toc486579970"/>
      <w:bookmarkStart w:id="264" w:name="_Toc144974507"/>
      <w:bookmarkStart w:id="265" w:name="_Toc338943709"/>
      <w:bookmarkStart w:id="266" w:name="_Toc342294723"/>
      <w:r>
        <w:t xml:space="preserve">1.10  </w:t>
      </w:r>
      <w:r>
        <w:rPr>
          <w:rFonts w:hint="eastAsia"/>
        </w:rPr>
        <w:t>踏勘现场</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spacing w:line="360" w:lineRule="auto"/>
        <w:ind w:firstLine="420" w:firstLineChars="200"/>
        <w:rPr>
          <w:rFonts w:ascii="宋体"/>
        </w:rPr>
      </w:pPr>
      <w:r>
        <w:rPr>
          <w:rFonts w:ascii="宋体" w:hAnsi="宋体"/>
        </w:rPr>
        <w:t xml:space="preserve">1.10.1  </w:t>
      </w:r>
      <w:r>
        <w:rPr>
          <w:rFonts w:hint="eastAsia" w:ascii="宋体" w:hAnsi="宋体"/>
        </w:rPr>
        <w:t>本次招标组织踏勘现场的，招标人按照规定的时间、地点组织投标人踏勘</w:t>
      </w:r>
      <w:r>
        <w:rPr>
          <w:rFonts w:hint="eastAsia" w:ascii="宋体" w:hAnsi="宋体" w:cs="Arial"/>
          <w:szCs w:val="21"/>
        </w:rPr>
        <w:t>工程</w:t>
      </w:r>
      <w:r>
        <w:rPr>
          <w:rFonts w:hint="eastAsia" w:ascii="宋体" w:hAnsi="宋体"/>
        </w:rPr>
        <w:t>现场。本次招标是否组织踏勘现场及踏勘现场的时间、集中地点</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1.10.2  </w:t>
      </w:r>
      <w:r>
        <w:rPr>
          <w:rFonts w:hint="eastAsia" w:ascii="宋体" w:hAnsi="宋体"/>
        </w:rPr>
        <w:t>投标人踏勘现场发生的费用自理。</w:t>
      </w:r>
    </w:p>
    <w:p>
      <w:pPr>
        <w:spacing w:line="360" w:lineRule="auto"/>
        <w:ind w:firstLine="420" w:firstLineChars="200"/>
        <w:rPr>
          <w:rFonts w:ascii="宋体"/>
        </w:rPr>
      </w:pPr>
      <w:r>
        <w:rPr>
          <w:rFonts w:ascii="宋体" w:hAnsi="宋体"/>
        </w:rPr>
        <w:t xml:space="preserve">1.10.3  </w:t>
      </w:r>
      <w:r>
        <w:rPr>
          <w:rFonts w:hint="eastAsia" w:ascii="宋体" w:hAnsi="宋体"/>
        </w:rPr>
        <w:t>除招标人的原因外，投标人自行负责在踏勘现场中所发生的人员伤亡和财产损失。</w:t>
      </w:r>
    </w:p>
    <w:p>
      <w:pPr>
        <w:spacing w:line="360" w:lineRule="auto"/>
        <w:ind w:firstLine="420" w:firstLineChars="200"/>
        <w:rPr>
          <w:rFonts w:ascii="宋体"/>
        </w:rPr>
      </w:pPr>
      <w:r>
        <w:rPr>
          <w:rFonts w:ascii="宋体" w:hAnsi="宋体"/>
        </w:rPr>
        <w:t xml:space="preserve">1.10.4  </w:t>
      </w:r>
      <w:r>
        <w:rPr>
          <w:rFonts w:hint="eastAsia" w:ascii="宋体" w:hAnsi="宋体"/>
        </w:rPr>
        <w:t>招标人在踏勘现场中介绍的工程场地和相关的周边环境情况，供投标人在编制投标文件时参考，招标人不对投标人据此作出的判断和决策负责。</w:t>
      </w:r>
    </w:p>
    <w:p>
      <w:pPr>
        <w:pStyle w:val="155"/>
        <w:spacing w:before="120" w:after="120"/>
      </w:pPr>
      <w:bookmarkStart w:id="267" w:name="_Toc429569110"/>
      <w:bookmarkStart w:id="268" w:name="_Toc144974508"/>
      <w:bookmarkStart w:id="269" w:name="_Toc486579971"/>
      <w:bookmarkStart w:id="270" w:name="_Toc152042316"/>
      <w:bookmarkStart w:id="271" w:name="_Toc342294724"/>
      <w:bookmarkStart w:id="272" w:name="_Toc333599669"/>
      <w:bookmarkStart w:id="273" w:name="_Toc342296172"/>
      <w:bookmarkStart w:id="274" w:name="_Toc482197521"/>
      <w:bookmarkStart w:id="275" w:name="_Toc490222417"/>
      <w:bookmarkStart w:id="276" w:name="_Toc338943710"/>
      <w:bookmarkStart w:id="277" w:name="_Toc117350338"/>
      <w:bookmarkStart w:id="278" w:name="_Toc489279784"/>
      <w:bookmarkStart w:id="279" w:name="_Toc338944615"/>
      <w:bookmarkStart w:id="280" w:name="_Toc152045540"/>
      <w:bookmarkStart w:id="281" w:name="_Toc349730851"/>
      <w:bookmarkStart w:id="282" w:name="_Toc179632557"/>
      <w:bookmarkStart w:id="283" w:name="_Toc333600693"/>
      <w:bookmarkStart w:id="284" w:name="_Toc333587863"/>
      <w:r>
        <w:t xml:space="preserve">1.11  </w:t>
      </w:r>
      <w:r>
        <w:rPr>
          <w:rFonts w:hint="eastAsia"/>
        </w:rPr>
        <w:t>投标预备会</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spacing w:line="360" w:lineRule="auto"/>
        <w:ind w:firstLine="420" w:firstLineChars="200"/>
        <w:rPr>
          <w:rFonts w:ascii="宋体"/>
        </w:rPr>
      </w:pPr>
      <w:r>
        <w:rPr>
          <w:rFonts w:ascii="宋体" w:hAnsi="宋体"/>
        </w:rPr>
        <w:t xml:space="preserve">1.11.1  </w:t>
      </w:r>
      <w:r>
        <w:rPr>
          <w:rFonts w:hint="eastAsia" w:ascii="宋体" w:hAnsi="宋体"/>
        </w:rPr>
        <w:t>本次招标召开投标预备会的，招标人按照规定的时间和地点召开投标预备会，澄清投标人提出的问题。本次招标是否召开投标预备会及召开投标预备会的时间、地点</w:t>
      </w:r>
      <w:r>
        <w:rPr>
          <w:rFonts w:hint="eastAsia" w:ascii="黑体" w:hAnsi="黑体" w:eastAsia="黑体"/>
        </w:rPr>
        <w:t>见投标人须知专用部分。</w:t>
      </w:r>
    </w:p>
    <w:p>
      <w:pPr>
        <w:spacing w:line="360" w:lineRule="auto"/>
        <w:ind w:firstLine="420" w:firstLineChars="200"/>
        <w:rPr>
          <w:rFonts w:ascii="宋体"/>
        </w:rPr>
      </w:pPr>
      <w:r>
        <w:rPr>
          <w:rFonts w:ascii="宋体" w:hAnsi="宋体"/>
        </w:rPr>
        <w:t xml:space="preserve">1.11.2  </w:t>
      </w:r>
      <w:r>
        <w:rPr>
          <w:rFonts w:hint="eastAsia" w:ascii="宋体" w:hAnsi="宋体"/>
        </w:rPr>
        <w:t>投标人应在规定的时间前，</w:t>
      </w:r>
      <w:r>
        <w:rPr>
          <w:rFonts w:hint="eastAsia" w:ascii="宋体" w:hAnsi="宋体" w:cs="Arial"/>
          <w:iCs/>
          <w:szCs w:val="28"/>
        </w:rPr>
        <w:t>通过电子化平台</w:t>
      </w:r>
      <w:r>
        <w:rPr>
          <w:rFonts w:hint="eastAsia" w:ascii="宋体" w:hAnsi="宋体"/>
        </w:rPr>
        <w:t>将提出的问题送达招标人，以便招标人在会议期间澄清。</w:t>
      </w:r>
      <w:r>
        <w:rPr>
          <w:rFonts w:hint="eastAsia" w:ascii="宋体" w:hAnsi="宋体" w:cs="Arial"/>
          <w:szCs w:val="21"/>
        </w:rPr>
        <w:t>预备会前，</w:t>
      </w:r>
      <w:r>
        <w:rPr>
          <w:rFonts w:hint="eastAsia" w:ascii="宋体" w:hAnsi="宋体"/>
        </w:rPr>
        <w:t>投标人提出问题的截止时间</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1.11.3  </w:t>
      </w:r>
      <w:r>
        <w:rPr>
          <w:rFonts w:hint="eastAsia" w:ascii="宋体" w:hAnsi="宋体"/>
        </w:rPr>
        <w:t>投标预备会后，招标人在规定的时间内，将对投标人所提问题的澄清，</w:t>
      </w:r>
      <w:r>
        <w:rPr>
          <w:rFonts w:hint="eastAsia" w:ascii="宋体" w:hAnsi="宋体" w:cs="Arial"/>
          <w:iCs/>
          <w:szCs w:val="28"/>
        </w:rPr>
        <w:t>通过电子化平台</w:t>
      </w:r>
      <w:r>
        <w:rPr>
          <w:rFonts w:hint="eastAsia" w:ascii="宋体" w:hAnsi="宋体"/>
        </w:rPr>
        <w:t>通知所有购买招标文件的投标人。该澄清内容为招标文件的组成部分。</w:t>
      </w:r>
      <w:r>
        <w:rPr>
          <w:rFonts w:hint="eastAsia" w:ascii="宋体" w:hAnsi="宋体" w:cs="Arial"/>
          <w:szCs w:val="21"/>
        </w:rPr>
        <w:t>预备会后，招标人书面澄清的时间</w:t>
      </w:r>
      <w:r>
        <w:rPr>
          <w:rFonts w:hint="eastAsia" w:ascii="黑体" w:hAnsi="黑体" w:eastAsia="黑体"/>
        </w:rPr>
        <w:t>见投标人须知专用部分</w:t>
      </w:r>
      <w:r>
        <w:rPr>
          <w:rFonts w:hint="eastAsia" w:ascii="宋体" w:hAnsi="宋体"/>
        </w:rPr>
        <w:t>。</w:t>
      </w:r>
    </w:p>
    <w:p>
      <w:pPr>
        <w:pStyle w:val="155"/>
        <w:spacing w:before="120" w:after="120"/>
      </w:pPr>
      <w:bookmarkStart w:id="285" w:name="_Toc490222418"/>
      <w:bookmarkStart w:id="286" w:name="_Toc486579972"/>
      <w:bookmarkStart w:id="287" w:name="_Toc349730852"/>
      <w:bookmarkStart w:id="288" w:name="_Toc152042317"/>
      <w:bookmarkStart w:id="289" w:name="_Toc342296173"/>
      <w:bookmarkStart w:id="290" w:name="_Toc333587864"/>
      <w:bookmarkStart w:id="291" w:name="_Toc117350339"/>
      <w:bookmarkStart w:id="292" w:name="_Toc482197522"/>
      <w:bookmarkStart w:id="293" w:name="_Toc489279785"/>
      <w:bookmarkStart w:id="294" w:name="_Toc338944616"/>
      <w:bookmarkStart w:id="295" w:name="_Toc144974509"/>
      <w:bookmarkStart w:id="296" w:name="_Toc333599670"/>
      <w:bookmarkStart w:id="297" w:name="_Toc338943711"/>
      <w:bookmarkStart w:id="298" w:name="_Toc179632558"/>
      <w:bookmarkStart w:id="299" w:name="_Toc342294725"/>
      <w:bookmarkStart w:id="300" w:name="_Toc429569111"/>
      <w:bookmarkStart w:id="301" w:name="_Toc333600694"/>
      <w:bookmarkStart w:id="302" w:name="_Toc152045541"/>
      <w:r>
        <w:t xml:space="preserve">1.12  </w:t>
      </w:r>
      <w:r>
        <w:rPr>
          <w:rFonts w:hint="eastAsia"/>
        </w:rPr>
        <w:t>分包</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spacing w:line="360" w:lineRule="auto"/>
        <w:ind w:firstLine="424" w:firstLineChars="202"/>
        <w:rPr>
          <w:rFonts w:ascii="宋体"/>
        </w:rPr>
      </w:pPr>
      <w:r>
        <w:rPr>
          <w:rFonts w:hint="eastAsia" w:ascii="宋体" w:hAnsi="宋体"/>
        </w:rPr>
        <w:t>投标人拟在中标后将中标工程的部分非主体、非关键性工作进行分包的，应符合本章专用部分规定的分包内容、分包金额和接受分包的第三人资质要求等限制性条件。本</w:t>
      </w:r>
      <w:r>
        <w:rPr>
          <w:rFonts w:hint="eastAsia" w:ascii="宋体" w:hAnsi="宋体" w:cs="Arial"/>
          <w:szCs w:val="21"/>
        </w:rPr>
        <w:t>工程</w:t>
      </w:r>
      <w:r>
        <w:rPr>
          <w:rFonts w:hint="eastAsia" w:ascii="宋体" w:hAnsi="宋体"/>
        </w:rPr>
        <w:t>是否允许分包及分包的相关要求</w:t>
      </w:r>
      <w:r>
        <w:rPr>
          <w:rFonts w:hint="eastAsia" w:ascii="黑体" w:hAnsi="黑体" w:eastAsia="黑体"/>
        </w:rPr>
        <w:t>见投标人须知专用部分</w:t>
      </w:r>
      <w:r>
        <w:rPr>
          <w:rFonts w:hint="eastAsia" w:ascii="宋体" w:hAnsi="宋体"/>
        </w:rPr>
        <w:t>。</w:t>
      </w:r>
    </w:p>
    <w:p>
      <w:pPr>
        <w:pStyle w:val="155"/>
        <w:spacing w:before="120" w:after="120"/>
      </w:pPr>
      <w:bookmarkStart w:id="303" w:name="_Toc333600695"/>
      <w:bookmarkStart w:id="304" w:name="_Toc179632559"/>
      <w:bookmarkStart w:id="305" w:name="_Toc117350340"/>
      <w:bookmarkStart w:id="306" w:name="_Toc482197523"/>
      <w:bookmarkStart w:id="307" w:name="_Toc489279786"/>
      <w:bookmarkStart w:id="308" w:name="_Toc342296174"/>
      <w:bookmarkStart w:id="309" w:name="_Toc333599671"/>
      <w:bookmarkStart w:id="310" w:name="_Toc490222419"/>
      <w:bookmarkStart w:id="311" w:name="_Toc349730853"/>
      <w:bookmarkStart w:id="312" w:name="_Toc429569112"/>
      <w:bookmarkStart w:id="313" w:name="_Toc333587865"/>
      <w:bookmarkStart w:id="314" w:name="_Toc486579973"/>
      <w:bookmarkStart w:id="315" w:name="_Toc342294726"/>
      <w:bookmarkStart w:id="316" w:name="_Toc338943712"/>
      <w:bookmarkStart w:id="317" w:name="_Toc338944617"/>
      <w:r>
        <w:t xml:space="preserve">1.13  </w:t>
      </w:r>
      <w:r>
        <w:rPr>
          <w:rFonts w:hint="eastAsia"/>
        </w:rPr>
        <w:t>偏离</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pPr>
        <w:spacing w:line="360" w:lineRule="auto"/>
        <w:ind w:firstLine="424" w:firstLineChars="202"/>
        <w:rPr>
          <w:rFonts w:ascii="宋体"/>
        </w:rPr>
      </w:pPr>
      <w:r>
        <w:rPr>
          <w:rFonts w:hint="eastAsia" w:ascii="宋体" w:hAnsi="宋体"/>
        </w:rPr>
        <w:t>本次招标允许投标文件偏离招标文件某些要求的，偏离应当符合本章专用部分规定的偏离范围和幅度。本次招标是否允许偏离及</w:t>
      </w:r>
      <w:r>
        <w:rPr>
          <w:rFonts w:hint="eastAsia" w:ascii="宋体" w:hAnsi="宋体" w:cs="Arial"/>
          <w:szCs w:val="21"/>
        </w:rPr>
        <w:t>允许偏离最高项数、偏差调整方法</w:t>
      </w:r>
      <w:r>
        <w:rPr>
          <w:rFonts w:hint="eastAsia" w:ascii="黑体" w:hAnsi="黑体" w:eastAsia="黑体"/>
        </w:rPr>
        <w:t>见投标人须知专用部分</w:t>
      </w:r>
      <w:r>
        <w:rPr>
          <w:rFonts w:hint="eastAsia" w:ascii="宋体" w:hAnsi="宋体"/>
        </w:rPr>
        <w:t>。</w:t>
      </w:r>
    </w:p>
    <w:p>
      <w:pPr>
        <w:pStyle w:val="144"/>
        <w:spacing w:before="120" w:after="120"/>
      </w:pPr>
      <w:bookmarkStart w:id="318" w:name="_Toc349730854"/>
      <w:bookmarkStart w:id="319" w:name="_Toc179632560"/>
      <w:bookmarkStart w:id="320" w:name="_Toc342296175"/>
      <w:bookmarkStart w:id="321" w:name="_Toc489279787"/>
      <w:bookmarkStart w:id="322" w:name="_Toc152042318"/>
      <w:bookmarkStart w:id="323" w:name="_Toc342294727"/>
      <w:bookmarkStart w:id="324" w:name="_Toc144974510"/>
      <w:bookmarkStart w:id="325" w:name="_Toc338944618"/>
      <w:bookmarkStart w:id="326" w:name="_Toc486579974"/>
      <w:bookmarkStart w:id="327" w:name="_Toc117350341"/>
      <w:bookmarkStart w:id="328" w:name="_Toc429569113"/>
      <w:bookmarkStart w:id="329" w:name="_Toc333599672"/>
      <w:bookmarkStart w:id="330" w:name="_Toc482197524"/>
      <w:bookmarkStart w:id="331" w:name="_Toc152045542"/>
      <w:bookmarkStart w:id="332" w:name="_Toc338943713"/>
      <w:bookmarkStart w:id="333" w:name="_Toc333600696"/>
      <w:bookmarkStart w:id="334" w:name="_Toc490222420"/>
      <w:r>
        <w:t>2.</w:t>
      </w:r>
      <w:r>
        <w:rPr>
          <w:rFonts w:hint="eastAsia"/>
        </w:rPr>
        <w:t>招标文件</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pPr>
        <w:pStyle w:val="155"/>
        <w:spacing w:before="120" w:after="120"/>
      </w:pPr>
      <w:bookmarkStart w:id="335" w:name="_Toc144974511"/>
      <w:bookmarkStart w:id="336" w:name="_Toc342296176"/>
      <w:bookmarkStart w:id="337" w:name="_Toc333599673"/>
      <w:bookmarkStart w:id="338" w:name="_Toc338943714"/>
      <w:bookmarkStart w:id="339" w:name="_Toc489279788"/>
      <w:bookmarkStart w:id="340" w:name="_Toc117350342"/>
      <w:bookmarkStart w:id="341" w:name="_Toc338944619"/>
      <w:bookmarkStart w:id="342" w:name="_Toc179632561"/>
      <w:bookmarkStart w:id="343" w:name="_Toc333600697"/>
      <w:bookmarkStart w:id="344" w:name="_Toc342294728"/>
      <w:bookmarkStart w:id="345" w:name="_Toc152045543"/>
      <w:bookmarkStart w:id="346" w:name="_Toc349730855"/>
      <w:bookmarkStart w:id="347" w:name="_Toc333587867"/>
      <w:bookmarkStart w:id="348" w:name="_Toc486579975"/>
      <w:bookmarkStart w:id="349" w:name="_Toc429569114"/>
      <w:bookmarkStart w:id="350" w:name="_Toc482197525"/>
      <w:bookmarkStart w:id="351" w:name="_Toc152042319"/>
      <w:bookmarkStart w:id="352" w:name="_Toc490222421"/>
      <w:r>
        <w:t xml:space="preserve">2.1  </w:t>
      </w:r>
      <w:r>
        <w:rPr>
          <w:rFonts w:hint="eastAsia"/>
        </w:rPr>
        <w:t>招标文件的组成</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pPr>
        <w:spacing w:line="360" w:lineRule="auto"/>
        <w:ind w:firstLine="420" w:firstLineChars="200"/>
        <w:rPr>
          <w:rFonts w:ascii="宋体" w:cs="Arial"/>
          <w:szCs w:val="21"/>
        </w:rPr>
      </w:pPr>
      <w:r>
        <w:rPr>
          <w:rFonts w:hint="eastAsia" w:ascii="宋体" w:hAnsi="宋体"/>
        </w:rPr>
        <w:t>本招标文件</w:t>
      </w:r>
      <w:r>
        <w:rPr>
          <w:rFonts w:hint="eastAsia" w:ascii="宋体" w:hAnsi="宋体" w:cs="Arial"/>
          <w:szCs w:val="21"/>
        </w:rPr>
        <w:t>由通用部分和专用部分两部分构成。其中分别包括下述内容：</w:t>
      </w:r>
    </w:p>
    <w:p>
      <w:pPr>
        <w:spacing w:line="360" w:lineRule="auto"/>
        <w:ind w:firstLine="420" w:firstLineChars="200"/>
        <w:rPr>
          <w:rFonts w:ascii="宋体"/>
          <w:sz w:val="10"/>
          <w:szCs w:val="10"/>
        </w:rPr>
      </w:pPr>
      <w:r>
        <w:rPr>
          <w:rFonts w:hint="eastAsia" w:ascii="宋体" w:hAnsi="宋体" w:cs="Arial"/>
          <w:szCs w:val="21"/>
        </w:rPr>
        <w:t>通用部分</w:t>
      </w:r>
    </w:p>
    <w:p>
      <w:pPr>
        <w:spacing w:line="360" w:lineRule="auto"/>
        <w:ind w:firstLine="840" w:firstLineChars="400"/>
        <w:rPr>
          <w:rFonts w:ascii="宋体" w:cs="Arial"/>
          <w:szCs w:val="21"/>
        </w:rPr>
      </w:pPr>
      <w:r>
        <w:rPr>
          <w:rFonts w:hint="eastAsia" w:ascii="宋体" w:hAnsi="宋体" w:cs="Arial"/>
          <w:szCs w:val="21"/>
        </w:rPr>
        <w:t>第一章</w:t>
      </w:r>
      <w:r>
        <w:rPr>
          <w:rFonts w:ascii="宋体" w:hAnsi="宋体" w:cs="Arial"/>
          <w:szCs w:val="21"/>
        </w:rPr>
        <w:t xml:space="preserve">  </w:t>
      </w:r>
      <w:r>
        <w:rPr>
          <w:rFonts w:hint="eastAsia" w:ascii="宋体" w:hAnsi="宋体" w:cs="Arial"/>
          <w:szCs w:val="21"/>
        </w:rPr>
        <w:t>招标公告通用部分</w:t>
      </w:r>
    </w:p>
    <w:p>
      <w:pPr>
        <w:spacing w:line="360" w:lineRule="auto"/>
        <w:ind w:firstLine="840" w:firstLineChars="400"/>
        <w:rPr>
          <w:rFonts w:ascii="宋体" w:cs="Arial"/>
          <w:szCs w:val="21"/>
        </w:rPr>
      </w:pPr>
      <w:r>
        <w:rPr>
          <w:rFonts w:hint="eastAsia" w:ascii="宋体" w:hAnsi="宋体" w:cs="Arial"/>
          <w:szCs w:val="21"/>
        </w:rPr>
        <w:t>第二章</w:t>
      </w:r>
      <w:r>
        <w:rPr>
          <w:rFonts w:ascii="宋体" w:hAnsi="宋体" w:cs="Arial"/>
          <w:szCs w:val="21"/>
        </w:rPr>
        <w:t xml:space="preserve">  </w:t>
      </w:r>
      <w:r>
        <w:rPr>
          <w:rFonts w:hint="eastAsia" w:ascii="宋体" w:hAnsi="宋体" w:cs="Arial"/>
          <w:szCs w:val="21"/>
        </w:rPr>
        <w:t>投标人须知通用部分</w:t>
      </w:r>
    </w:p>
    <w:p>
      <w:pPr>
        <w:spacing w:line="360" w:lineRule="auto"/>
        <w:ind w:firstLine="840" w:firstLineChars="400"/>
        <w:rPr>
          <w:rFonts w:ascii="宋体" w:cs="Arial"/>
          <w:szCs w:val="21"/>
        </w:rPr>
      </w:pPr>
      <w:r>
        <w:rPr>
          <w:rFonts w:hint="eastAsia" w:ascii="宋体" w:hAnsi="宋体" w:cs="Arial"/>
          <w:szCs w:val="21"/>
        </w:rPr>
        <w:t>第三章</w:t>
      </w:r>
      <w:r>
        <w:rPr>
          <w:rFonts w:ascii="宋体" w:hAnsi="宋体" w:cs="Arial"/>
          <w:szCs w:val="21"/>
        </w:rPr>
        <w:t xml:space="preserve">  </w:t>
      </w:r>
      <w:r>
        <w:rPr>
          <w:rFonts w:hint="eastAsia" w:ascii="宋体" w:hAnsi="宋体" w:cs="Arial"/>
          <w:szCs w:val="21"/>
        </w:rPr>
        <w:t>评标办法通用部分</w:t>
      </w:r>
    </w:p>
    <w:p>
      <w:pPr>
        <w:spacing w:line="360" w:lineRule="auto"/>
        <w:ind w:firstLine="840" w:firstLineChars="400"/>
        <w:rPr>
          <w:rFonts w:ascii="宋体" w:cs="Arial"/>
          <w:szCs w:val="21"/>
        </w:rPr>
      </w:pPr>
      <w:r>
        <w:rPr>
          <w:rFonts w:hint="eastAsia" w:ascii="宋体" w:hAnsi="宋体" w:cs="Arial"/>
          <w:szCs w:val="21"/>
        </w:rPr>
        <w:t>第四章</w:t>
      </w:r>
      <w:r>
        <w:rPr>
          <w:rFonts w:ascii="宋体" w:hAnsi="宋体" w:cs="Arial"/>
          <w:szCs w:val="21"/>
        </w:rPr>
        <w:t xml:space="preserve">  </w:t>
      </w:r>
      <w:r>
        <w:rPr>
          <w:rFonts w:hint="eastAsia" w:ascii="宋体" w:hAnsi="宋体" w:cs="Arial"/>
          <w:szCs w:val="21"/>
        </w:rPr>
        <w:t>合同条款通用部分</w:t>
      </w:r>
    </w:p>
    <w:p>
      <w:pPr>
        <w:spacing w:line="360" w:lineRule="auto"/>
        <w:ind w:firstLine="840" w:firstLineChars="400"/>
        <w:rPr>
          <w:rFonts w:ascii="宋体" w:cs="Arial"/>
          <w:szCs w:val="21"/>
        </w:rPr>
      </w:pPr>
      <w:r>
        <w:rPr>
          <w:rFonts w:hint="eastAsia" w:ascii="宋体" w:hAnsi="宋体" w:cs="Arial"/>
          <w:szCs w:val="21"/>
        </w:rPr>
        <w:t>第五章</w:t>
      </w:r>
      <w:r>
        <w:rPr>
          <w:rFonts w:ascii="宋体" w:hAnsi="宋体" w:cs="Arial"/>
          <w:szCs w:val="21"/>
        </w:rPr>
        <w:t xml:space="preserve">  </w:t>
      </w:r>
      <w:r>
        <w:rPr>
          <w:rFonts w:hint="eastAsia" w:ascii="宋体" w:hAnsi="宋体" w:cs="Arial"/>
          <w:szCs w:val="21"/>
        </w:rPr>
        <w:t>技术标准和要求通用部分</w:t>
      </w:r>
    </w:p>
    <w:p>
      <w:pPr>
        <w:spacing w:line="360" w:lineRule="auto"/>
        <w:ind w:firstLine="840" w:firstLineChars="400"/>
        <w:rPr>
          <w:rFonts w:ascii="宋体" w:cs="Arial"/>
          <w:szCs w:val="21"/>
        </w:rPr>
      </w:pPr>
      <w:r>
        <w:rPr>
          <w:rFonts w:hint="eastAsia" w:ascii="宋体" w:hAnsi="宋体" w:cs="Arial"/>
          <w:szCs w:val="21"/>
        </w:rPr>
        <w:t>第六章</w:t>
      </w:r>
      <w:r>
        <w:rPr>
          <w:rFonts w:ascii="宋体" w:hAnsi="宋体" w:cs="Arial"/>
          <w:szCs w:val="21"/>
        </w:rPr>
        <w:t xml:space="preserve">  </w:t>
      </w:r>
      <w:r>
        <w:rPr>
          <w:rFonts w:hint="eastAsia" w:ascii="宋体" w:hAnsi="宋体" w:cs="Arial"/>
          <w:szCs w:val="21"/>
        </w:rPr>
        <w:t>工程量清单通用部分</w:t>
      </w:r>
    </w:p>
    <w:p>
      <w:pPr>
        <w:spacing w:line="360" w:lineRule="auto"/>
        <w:ind w:firstLine="420" w:firstLineChars="200"/>
        <w:rPr>
          <w:rFonts w:ascii="宋体"/>
          <w:sz w:val="10"/>
          <w:szCs w:val="10"/>
        </w:rPr>
      </w:pPr>
      <w:r>
        <w:rPr>
          <w:rFonts w:hint="eastAsia" w:ascii="宋体" w:hAnsi="宋体" w:cs="Arial"/>
          <w:szCs w:val="21"/>
        </w:rPr>
        <w:t>专用部分</w:t>
      </w:r>
    </w:p>
    <w:p>
      <w:pPr>
        <w:spacing w:line="360" w:lineRule="auto"/>
        <w:ind w:firstLine="840" w:firstLineChars="400"/>
        <w:rPr>
          <w:rFonts w:ascii="宋体" w:cs="Arial"/>
          <w:szCs w:val="21"/>
        </w:rPr>
      </w:pPr>
      <w:r>
        <w:rPr>
          <w:rFonts w:hint="eastAsia" w:ascii="宋体" w:hAnsi="宋体" w:cs="Arial"/>
          <w:szCs w:val="21"/>
        </w:rPr>
        <w:t>第一章</w:t>
      </w:r>
      <w:r>
        <w:rPr>
          <w:rFonts w:ascii="宋体" w:hAnsi="宋体" w:cs="Arial"/>
          <w:szCs w:val="21"/>
        </w:rPr>
        <w:t xml:space="preserve">  </w:t>
      </w:r>
      <w:r>
        <w:rPr>
          <w:rFonts w:hint="eastAsia" w:ascii="宋体" w:hAnsi="宋体" w:cs="Arial"/>
          <w:szCs w:val="21"/>
        </w:rPr>
        <w:t>招标公告专用部分</w:t>
      </w:r>
    </w:p>
    <w:p>
      <w:pPr>
        <w:spacing w:line="360" w:lineRule="auto"/>
        <w:ind w:firstLine="840" w:firstLineChars="400"/>
        <w:rPr>
          <w:rFonts w:ascii="宋体" w:cs="Arial"/>
          <w:szCs w:val="21"/>
        </w:rPr>
      </w:pPr>
      <w:r>
        <w:rPr>
          <w:rFonts w:hint="eastAsia" w:ascii="宋体" w:hAnsi="宋体" w:cs="Arial"/>
          <w:szCs w:val="21"/>
        </w:rPr>
        <w:t>第二章</w:t>
      </w:r>
      <w:r>
        <w:rPr>
          <w:rFonts w:ascii="宋体" w:hAnsi="宋体" w:cs="Arial"/>
          <w:szCs w:val="21"/>
        </w:rPr>
        <w:t xml:space="preserve">  </w:t>
      </w:r>
      <w:r>
        <w:rPr>
          <w:rFonts w:hint="eastAsia" w:ascii="宋体" w:hAnsi="宋体" w:cs="Arial"/>
          <w:szCs w:val="21"/>
        </w:rPr>
        <w:t>投标人须知专用部分</w:t>
      </w:r>
    </w:p>
    <w:p>
      <w:pPr>
        <w:spacing w:line="360" w:lineRule="auto"/>
        <w:ind w:firstLine="840" w:firstLineChars="400"/>
        <w:rPr>
          <w:rFonts w:ascii="宋体" w:cs="Arial"/>
          <w:szCs w:val="21"/>
        </w:rPr>
      </w:pPr>
      <w:r>
        <w:rPr>
          <w:rFonts w:hint="eastAsia" w:ascii="宋体" w:hAnsi="宋体" w:cs="Arial"/>
          <w:szCs w:val="21"/>
        </w:rPr>
        <w:t>第三章</w:t>
      </w:r>
      <w:r>
        <w:rPr>
          <w:rFonts w:ascii="宋体" w:hAnsi="宋体" w:cs="Arial"/>
          <w:szCs w:val="21"/>
        </w:rPr>
        <w:t xml:space="preserve">  </w:t>
      </w:r>
      <w:r>
        <w:rPr>
          <w:rFonts w:hint="eastAsia" w:ascii="宋体" w:hAnsi="宋体" w:cs="Arial"/>
          <w:szCs w:val="21"/>
        </w:rPr>
        <w:t>评标办法专用部分</w:t>
      </w:r>
    </w:p>
    <w:p>
      <w:pPr>
        <w:spacing w:line="360" w:lineRule="auto"/>
        <w:ind w:firstLine="840" w:firstLineChars="400"/>
        <w:rPr>
          <w:rFonts w:ascii="宋体" w:cs="Arial"/>
          <w:szCs w:val="21"/>
        </w:rPr>
      </w:pPr>
      <w:r>
        <w:rPr>
          <w:rFonts w:hint="eastAsia" w:ascii="宋体" w:hAnsi="宋体" w:cs="Arial"/>
          <w:szCs w:val="21"/>
        </w:rPr>
        <w:t>第四章</w:t>
      </w:r>
      <w:r>
        <w:rPr>
          <w:rFonts w:ascii="宋体" w:hAnsi="宋体" w:cs="Arial"/>
          <w:szCs w:val="21"/>
        </w:rPr>
        <w:t xml:space="preserve">  </w:t>
      </w:r>
      <w:r>
        <w:rPr>
          <w:rFonts w:hint="eastAsia" w:ascii="宋体" w:hAnsi="宋体" w:cs="Arial"/>
          <w:szCs w:val="21"/>
        </w:rPr>
        <w:t>合同条款专用部分</w:t>
      </w:r>
    </w:p>
    <w:p>
      <w:pPr>
        <w:spacing w:line="360" w:lineRule="auto"/>
        <w:ind w:firstLine="840" w:firstLineChars="400"/>
        <w:rPr>
          <w:rFonts w:ascii="宋体" w:cs="Arial"/>
          <w:szCs w:val="21"/>
        </w:rPr>
      </w:pPr>
      <w:r>
        <w:rPr>
          <w:rFonts w:hint="eastAsia" w:ascii="宋体" w:hAnsi="宋体" w:cs="Arial"/>
          <w:szCs w:val="21"/>
        </w:rPr>
        <w:t>第五章</w:t>
      </w:r>
      <w:r>
        <w:rPr>
          <w:rFonts w:ascii="宋体" w:hAnsi="宋体" w:cs="Arial"/>
          <w:szCs w:val="21"/>
        </w:rPr>
        <w:t xml:space="preserve">  </w:t>
      </w:r>
      <w:r>
        <w:rPr>
          <w:rFonts w:hint="eastAsia" w:ascii="宋体" w:hAnsi="宋体" w:cs="Arial"/>
          <w:szCs w:val="21"/>
        </w:rPr>
        <w:t>技术标准和要求专用部分</w:t>
      </w:r>
    </w:p>
    <w:p>
      <w:pPr>
        <w:spacing w:line="360" w:lineRule="auto"/>
        <w:ind w:firstLine="840" w:firstLineChars="400"/>
        <w:rPr>
          <w:rFonts w:ascii="宋体" w:cs="Arial"/>
          <w:szCs w:val="21"/>
        </w:rPr>
      </w:pPr>
      <w:r>
        <w:rPr>
          <w:rFonts w:hint="eastAsia" w:ascii="宋体" w:hAnsi="宋体" w:cs="Arial"/>
          <w:szCs w:val="21"/>
        </w:rPr>
        <w:t>第六章</w:t>
      </w:r>
      <w:r>
        <w:rPr>
          <w:rFonts w:ascii="宋体" w:hAnsi="宋体" w:cs="Arial"/>
          <w:szCs w:val="21"/>
        </w:rPr>
        <w:t xml:space="preserve">  </w:t>
      </w:r>
      <w:r>
        <w:rPr>
          <w:rFonts w:hint="eastAsia" w:ascii="宋体" w:hAnsi="宋体" w:cs="Arial"/>
          <w:szCs w:val="21"/>
        </w:rPr>
        <w:t>工程量清单专用部分</w:t>
      </w:r>
    </w:p>
    <w:p>
      <w:pPr>
        <w:spacing w:line="360" w:lineRule="auto"/>
        <w:ind w:firstLine="840" w:firstLineChars="400"/>
        <w:rPr>
          <w:rFonts w:ascii="宋体" w:cs="Arial"/>
          <w:szCs w:val="21"/>
        </w:rPr>
      </w:pPr>
      <w:r>
        <w:rPr>
          <w:rFonts w:hint="eastAsia" w:ascii="宋体" w:hAnsi="宋体" w:cs="Arial"/>
          <w:szCs w:val="21"/>
        </w:rPr>
        <w:t>第七章</w:t>
      </w:r>
      <w:r>
        <w:rPr>
          <w:rFonts w:ascii="宋体" w:hAnsi="宋体" w:cs="Arial"/>
          <w:szCs w:val="21"/>
        </w:rPr>
        <w:t xml:space="preserve">  </w:t>
      </w:r>
      <w:r>
        <w:rPr>
          <w:rFonts w:hint="eastAsia" w:ascii="宋体" w:hAnsi="宋体" w:cs="Arial"/>
          <w:szCs w:val="21"/>
        </w:rPr>
        <w:t>图纸</w:t>
      </w:r>
    </w:p>
    <w:p>
      <w:pPr>
        <w:spacing w:line="360" w:lineRule="auto"/>
        <w:ind w:firstLine="840" w:firstLineChars="400"/>
        <w:rPr>
          <w:rFonts w:ascii="宋体" w:cs="Arial"/>
          <w:szCs w:val="21"/>
        </w:rPr>
      </w:pPr>
      <w:r>
        <w:rPr>
          <w:rFonts w:hint="eastAsia" w:ascii="宋体" w:hAnsi="宋体" w:cs="Arial"/>
          <w:szCs w:val="21"/>
        </w:rPr>
        <w:t>第八章</w:t>
      </w:r>
      <w:r>
        <w:rPr>
          <w:rFonts w:ascii="宋体" w:hAnsi="宋体" w:cs="Arial"/>
          <w:szCs w:val="21"/>
        </w:rPr>
        <w:t xml:space="preserve">  </w:t>
      </w:r>
      <w:r>
        <w:rPr>
          <w:rFonts w:hint="eastAsia" w:ascii="宋体" w:hAnsi="宋体" w:cs="Arial"/>
          <w:szCs w:val="21"/>
        </w:rPr>
        <w:t>投标文件格式</w:t>
      </w:r>
    </w:p>
    <w:p>
      <w:pPr>
        <w:spacing w:line="360" w:lineRule="auto"/>
        <w:ind w:firstLine="420" w:firstLineChars="200"/>
        <w:rPr>
          <w:rFonts w:ascii="宋体"/>
        </w:rPr>
      </w:pPr>
      <w:r>
        <w:rPr>
          <w:rFonts w:hint="eastAsia" w:ascii="宋体" w:hAnsi="宋体"/>
        </w:rPr>
        <w:t>根据本章第</w:t>
      </w:r>
      <w:r>
        <w:rPr>
          <w:rFonts w:ascii="宋体" w:hAnsi="宋体"/>
        </w:rPr>
        <w:t>1.11</w:t>
      </w:r>
      <w:r>
        <w:rPr>
          <w:rFonts w:hint="eastAsia" w:ascii="宋体" w:hAnsi="宋体"/>
        </w:rPr>
        <w:t>款、第</w:t>
      </w:r>
      <w:r>
        <w:rPr>
          <w:rFonts w:ascii="宋体" w:hAnsi="宋体"/>
        </w:rPr>
        <w:t>2.2</w:t>
      </w:r>
      <w:r>
        <w:rPr>
          <w:rFonts w:hint="eastAsia" w:ascii="宋体" w:hAnsi="宋体"/>
        </w:rPr>
        <w:t>款和第</w:t>
      </w:r>
      <w:r>
        <w:rPr>
          <w:rFonts w:ascii="宋体" w:hAnsi="宋体"/>
        </w:rPr>
        <w:t>2.3</w:t>
      </w:r>
      <w:r>
        <w:rPr>
          <w:rFonts w:hint="eastAsia" w:ascii="宋体" w:hAnsi="宋体"/>
        </w:rPr>
        <w:t>款对招标文件所作的澄清、修改，构成招标文件的组成部分。</w:t>
      </w:r>
    </w:p>
    <w:p>
      <w:pPr>
        <w:pStyle w:val="155"/>
        <w:spacing w:before="120" w:after="120"/>
      </w:pPr>
      <w:bookmarkStart w:id="353" w:name="_Toc117350343"/>
      <w:bookmarkStart w:id="354" w:name="_Toc342294729"/>
      <w:bookmarkStart w:id="355" w:name="_Toc338943715"/>
      <w:bookmarkStart w:id="356" w:name="_Toc429569115"/>
      <w:bookmarkStart w:id="357" w:name="_Toc338944620"/>
      <w:bookmarkStart w:id="358" w:name="_Toc144974512"/>
      <w:bookmarkStart w:id="359" w:name="_Toc333599674"/>
      <w:bookmarkStart w:id="360" w:name="_Toc179632562"/>
      <w:bookmarkStart w:id="361" w:name="_Toc152045544"/>
      <w:bookmarkStart w:id="362" w:name="_Toc333587868"/>
      <w:bookmarkStart w:id="363" w:name="_Toc349730856"/>
      <w:bookmarkStart w:id="364" w:name="_Toc333600698"/>
      <w:bookmarkStart w:id="365" w:name="_Toc490222422"/>
      <w:bookmarkStart w:id="366" w:name="_Toc489279789"/>
      <w:bookmarkStart w:id="367" w:name="_Toc486579976"/>
      <w:bookmarkStart w:id="368" w:name="_Toc152042320"/>
      <w:bookmarkStart w:id="369" w:name="_Toc342296177"/>
      <w:bookmarkStart w:id="370" w:name="_Toc482197526"/>
      <w:r>
        <w:t xml:space="preserve">2.2  </w:t>
      </w:r>
      <w:r>
        <w:rPr>
          <w:rFonts w:hint="eastAsia"/>
        </w:rPr>
        <w:t>招标文件的澄清</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spacing w:line="360" w:lineRule="auto"/>
        <w:ind w:firstLine="420" w:firstLineChars="200"/>
        <w:rPr>
          <w:rFonts w:ascii="宋体"/>
        </w:rPr>
      </w:pPr>
      <w:r>
        <w:rPr>
          <w:rFonts w:ascii="宋体" w:hAnsi="宋体"/>
        </w:rPr>
        <w:t xml:space="preserve">2.2.1  </w:t>
      </w:r>
      <w:r>
        <w:rPr>
          <w:rFonts w:hint="eastAsia" w:ascii="宋体" w:hAnsi="宋体"/>
        </w:rPr>
        <w:t>投标人应仔细阅读和检查招标文件的全部内容。</w:t>
      </w:r>
      <w:r>
        <w:rPr>
          <w:rFonts w:hint="eastAsia" w:ascii="宋体" w:hAnsi="宋体"/>
          <w:szCs w:val="21"/>
        </w:rPr>
        <w:t>如发现缺页或附件不全，应及时向招标人提出，以便补齐。</w:t>
      </w:r>
      <w:r>
        <w:rPr>
          <w:rFonts w:hint="eastAsia" w:ascii="宋体" w:hAnsi="宋体"/>
        </w:rPr>
        <w:t>如有疑问，应在规定的时间前通过</w:t>
      </w:r>
      <w:r>
        <w:rPr>
          <w:rFonts w:hint="eastAsia" w:ascii="宋体" w:hAnsi="宋体" w:cs="Arial"/>
          <w:iCs/>
          <w:szCs w:val="28"/>
        </w:rPr>
        <w:t>电子化平台</w:t>
      </w:r>
      <w:r>
        <w:rPr>
          <w:rFonts w:hint="eastAsia" w:ascii="宋体" w:hAnsi="宋体"/>
        </w:rPr>
        <w:t>，要求招标人对招标文件予以澄清。</w:t>
      </w:r>
      <w:r>
        <w:rPr>
          <w:rFonts w:hint="eastAsia" w:ascii="宋体" w:hAnsi="宋体" w:cs="Arial"/>
          <w:szCs w:val="21"/>
        </w:rPr>
        <w:t>投标人要求澄清招标文件的截止时间</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2.2.2  </w:t>
      </w:r>
      <w:r>
        <w:rPr>
          <w:rFonts w:hint="eastAsia" w:ascii="宋体" w:hAnsi="宋体"/>
        </w:rPr>
        <w:t>招标文件澄清的内容可能影响投标文件编制的，招标人应当在投标截止时间</w:t>
      </w:r>
      <w:r>
        <w:rPr>
          <w:rFonts w:ascii="宋体" w:hAnsi="宋体"/>
        </w:rPr>
        <w:t>15</w:t>
      </w:r>
      <w:r>
        <w:rPr>
          <w:rFonts w:hint="eastAsia" w:ascii="宋体" w:hAnsi="宋体"/>
        </w:rPr>
        <w:t>天前，通过电子化平台发给所有购买招标文件的潜在投标人，但不指明澄清问题的来源。不足</w:t>
      </w:r>
      <w:r>
        <w:rPr>
          <w:rFonts w:ascii="宋体" w:hAnsi="宋体"/>
        </w:rPr>
        <w:t>15</w:t>
      </w:r>
      <w:r>
        <w:rPr>
          <w:rFonts w:hint="eastAsia" w:ascii="宋体" w:hAnsi="宋体"/>
        </w:rPr>
        <w:t>天的，应当顺延投标文件截止时间。投标截止时间</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2.2.3  </w:t>
      </w:r>
      <w:r>
        <w:rPr>
          <w:rFonts w:hint="eastAsia" w:ascii="宋体" w:hAnsi="宋体"/>
        </w:rPr>
        <w:t>投标人在收到澄清后，应在规定的时间内</w:t>
      </w:r>
      <w:r>
        <w:rPr>
          <w:rFonts w:hint="eastAsia" w:ascii="宋体" w:hAnsi="宋体" w:cs="Arial"/>
          <w:iCs/>
          <w:szCs w:val="28"/>
        </w:rPr>
        <w:t>通过电子化平台</w:t>
      </w:r>
      <w:r>
        <w:rPr>
          <w:rFonts w:hint="eastAsia" w:ascii="宋体" w:hAnsi="宋体"/>
        </w:rPr>
        <w:t>通知招标人，确认已收到该澄清。</w:t>
      </w:r>
      <w:r>
        <w:rPr>
          <w:rFonts w:hint="eastAsia" w:ascii="宋体" w:hAnsi="宋体" w:cs="Arial"/>
          <w:szCs w:val="21"/>
        </w:rPr>
        <w:t>投标人确认收到招标文件澄清的时间</w:t>
      </w:r>
      <w:r>
        <w:rPr>
          <w:rFonts w:hint="eastAsia" w:ascii="黑体" w:hAnsi="黑体" w:eastAsia="黑体"/>
        </w:rPr>
        <w:t>见投标人须知专用部分</w:t>
      </w:r>
      <w:r>
        <w:rPr>
          <w:rFonts w:hint="eastAsia" w:ascii="宋体" w:hAnsi="宋体"/>
        </w:rPr>
        <w:t>。</w:t>
      </w:r>
    </w:p>
    <w:p>
      <w:pPr>
        <w:pStyle w:val="155"/>
        <w:spacing w:before="120" w:after="120"/>
      </w:pPr>
      <w:bookmarkStart w:id="371" w:name="_Toc338943716"/>
      <w:bookmarkStart w:id="372" w:name="_Toc349730857"/>
      <w:bookmarkStart w:id="373" w:name="_Toc179632563"/>
      <w:bookmarkStart w:id="374" w:name="_Toc333600699"/>
      <w:bookmarkStart w:id="375" w:name="_Toc144974513"/>
      <w:bookmarkStart w:id="376" w:name="_Toc117350344"/>
      <w:bookmarkStart w:id="377" w:name="_Toc342294730"/>
      <w:bookmarkStart w:id="378" w:name="_Toc429569116"/>
      <w:bookmarkStart w:id="379" w:name="_Toc489279790"/>
      <w:bookmarkStart w:id="380" w:name="_Toc342296178"/>
      <w:bookmarkStart w:id="381" w:name="_Toc333599675"/>
      <w:bookmarkStart w:id="382" w:name="_Toc490222423"/>
      <w:bookmarkStart w:id="383" w:name="_Toc152042321"/>
      <w:bookmarkStart w:id="384" w:name="_Toc486579977"/>
      <w:bookmarkStart w:id="385" w:name="_Toc338944621"/>
      <w:bookmarkStart w:id="386" w:name="_Toc482197527"/>
      <w:bookmarkStart w:id="387" w:name="_Toc333587869"/>
      <w:bookmarkStart w:id="388" w:name="_Toc152045545"/>
      <w:r>
        <w:t xml:space="preserve">2.3  </w:t>
      </w:r>
      <w:r>
        <w:rPr>
          <w:rFonts w:hint="eastAsia"/>
        </w:rPr>
        <w:t>招标文件的修改</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pPr>
        <w:spacing w:line="360" w:lineRule="auto"/>
        <w:ind w:firstLine="420" w:firstLineChars="200"/>
        <w:rPr>
          <w:rFonts w:ascii="宋体"/>
          <w:color w:val="0000FF"/>
        </w:rPr>
      </w:pPr>
      <w:r>
        <w:rPr>
          <w:rFonts w:ascii="宋体" w:hAnsi="宋体"/>
        </w:rPr>
        <w:t xml:space="preserve">2.3.1  </w:t>
      </w:r>
      <w:r>
        <w:rPr>
          <w:rFonts w:hint="eastAsia" w:ascii="宋体" w:hAnsi="宋体"/>
        </w:rPr>
        <w:t>招标文件澄清、修改的内容可能影响投标文件编制的，在投标截止时间</w:t>
      </w:r>
      <w:r>
        <w:rPr>
          <w:rFonts w:ascii="宋体" w:hAnsi="宋体"/>
        </w:rPr>
        <w:t>15</w:t>
      </w:r>
      <w:r>
        <w:rPr>
          <w:rFonts w:hint="eastAsia" w:ascii="宋体" w:hAnsi="宋体"/>
        </w:rPr>
        <w:t>日前，</w:t>
      </w:r>
      <w:bookmarkStart w:id="3916" w:name="_GoBack"/>
      <w:r>
        <w:rPr>
          <w:rFonts w:hint="eastAsia" w:ascii="宋体" w:hAnsi="宋体"/>
          <w:color w:val="auto"/>
        </w:rPr>
        <w:t>招标人可通过电子化平台对已发出的招标文件进行修改，并通知所有</w:t>
      </w:r>
      <w:bookmarkEnd w:id="3916"/>
      <w:r>
        <w:rPr>
          <w:rFonts w:hint="eastAsia" w:ascii="宋体" w:hAnsi="宋体"/>
        </w:rPr>
        <w:t>已获取招标文件的潜在投标人，不足</w:t>
      </w:r>
      <w:r>
        <w:rPr>
          <w:rFonts w:ascii="宋体" w:hAnsi="宋体"/>
        </w:rPr>
        <w:t>15</w:t>
      </w:r>
      <w:r>
        <w:rPr>
          <w:rFonts w:hint="eastAsia" w:ascii="宋体" w:hAnsi="宋体"/>
        </w:rPr>
        <w:t>日的，应当相应延长投标文件截止时间。</w:t>
      </w:r>
    </w:p>
    <w:p>
      <w:pPr>
        <w:spacing w:line="360" w:lineRule="auto"/>
        <w:ind w:firstLine="420" w:firstLineChars="200"/>
        <w:rPr>
          <w:rFonts w:ascii="宋体"/>
        </w:rPr>
      </w:pPr>
      <w:r>
        <w:rPr>
          <w:rFonts w:ascii="宋体" w:hAnsi="宋体"/>
        </w:rPr>
        <w:t xml:space="preserve">2.3.2  </w:t>
      </w:r>
      <w:r>
        <w:rPr>
          <w:rFonts w:hint="eastAsia" w:ascii="宋体" w:hAnsi="宋体"/>
        </w:rPr>
        <w:t>投标人收到修改内容后，应在规定的时间内</w:t>
      </w:r>
      <w:r>
        <w:rPr>
          <w:rFonts w:hint="eastAsia" w:ascii="宋体" w:hAnsi="宋体" w:cs="Arial"/>
          <w:iCs/>
          <w:szCs w:val="28"/>
        </w:rPr>
        <w:t>通过电子化平台</w:t>
      </w:r>
      <w:r>
        <w:rPr>
          <w:rFonts w:hint="eastAsia" w:ascii="宋体" w:hAnsi="宋体"/>
        </w:rPr>
        <w:t>通知招标人，确认已收到该修改。</w:t>
      </w:r>
      <w:r>
        <w:rPr>
          <w:rFonts w:hint="eastAsia" w:ascii="宋体" w:hAnsi="宋体" w:cs="Arial"/>
          <w:szCs w:val="21"/>
        </w:rPr>
        <w:t>投标人确认收到招标文件修改的时间</w:t>
      </w:r>
      <w:r>
        <w:rPr>
          <w:rFonts w:hint="eastAsia" w:ascii="黑体" w:hAnsi="黑体" w:eastAsia="黑体"/>
        </w:rPr>
        <w:t>见投标人须知专用部分</w:t>
      </w:r>
      <w:r>
        <w:rPr>
          <w:rFonts w:hint="eastAsia" w:ascii="宋体" w:hAnsi="宋体"/>
        </w:rPr>
        <w:t>。</w:t>
      </w:r>
    </w:p>
    <w:p>
      <w:pPr>
        <w:pStyle w:val="144"/>
        <w:spacing w:before="120" w:after="120"/>
      </w:pPr>
      <w:bookmarkStart w:id="389" w:name="_Toc117350345"/>
      <w:bookmarkStart w:id="390" w:name="_Toc152045546"/>
      <w:bookmarkStart w:id="391" w:name="_Toc490222424"/>
      <w:bookmarkStart w:id="392" w:name="_Toc333599676"/>
      <w:bookmarkStart w:id="393" w:name="_Toc489279791"/>
      <w:bookmarkStart w:id="394" w:name="_Toc338944622"/>
      <w:bookmarkStart w:id="395" w:name="_Toc342294731"/>
      <w:bookmarkStart w:id="396" w:name="_Toc152042322"/>
      <w:bookmarkStart w:id="397" w:name="_Toc486579978"/>
      <w:bookmarkStart w:id="398" w:name="_Toc349730858"/>
      <w:bookmarkStart w:id="399" w:name="_Toc482197528"/>
      <w:bookmarkStart w:id="400" w:name="_Toc342296179"/>
      <w:bookmarkStart w:id="401" w:name="_Toc338943717"/>
      <w:bookmarkStart w:id="402" w:name="_Toc429569117"/>
      <w:bookmarkStart w:id="403" w:name="_Toc144974514"/>
      <w:bookmarkStart w:id="404" w:name="_Toc179632564"/>
      <w:bookmarkStart w:id="405" w:name="_Toc333600700"/>
      <w:r>
        <w:t>3.</w:t>
      </w:r>
      <w:r>
        <w:rPr>
          <w:rFonts w:hint="eastAsia"/>
        </w:rPr>
        <w:t>投标文件</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pPr>
        <w:pStyle w:val="155"/>
        <w:spacing w:before="120" w:after="120"/>
      </w:pPr>
      <w:bookmarkStart w:id="406" w:name="_Toc117350346"/>
      <w:bookmarkStart w:id="407" w:name="_Toc338944623"/>
      <w:bookmarkStart w:id="408" w:name="_Toc333587871"/>
      <w:bookmarkStart w:id="409" w:name="_Toc349730859"/>
      <w:bookmarkStart w:id="410" w:name="_Toc490222425"/>
      <w:bookmarkStart w:id="411" w:name="_Toc338943718"/>
      <w:bookmarkStart w:id="412" w:name="_Toc486579979"/>
      <w:bookmarkStart w:id="413" w:name="_Toc152045547"/>
      <w:bookmarkStart w:id="414" w:name="_Toc489279792"/>
      <w:bookmarkStart w:id="415" w:name="_Toc429569118"/>
      <w:bookmarkStart w:id="416" w:name="_Toc333600701"/>
      <w:bookmarkStart w:id="417" w:name="_Toc482197529"/>
      <w:bookmarkStart w:id="418" w:name="_Toc342294732"/>
      <w:bookmarkStart w:id="419" w:name="_Toc144974515"/>
      <w:bookmarkStart w:id="420" w:name="_Toc342296180"/>
      <w:bookmarkStart w:id="421" w:name="_Toc179632565"/>
      <w:bookmarkStart w:id="422" w:name="_Toc152042323"/>
      <w:bookmarkStart w:id="423" w:name="_Toc333599677"/>
      <w:r>
        <w:t xml:space="preserve">3.1  </w:t>
      </w:r>
      <w:r>
        <w:rPr>
          <w:rFonts w:hint="eastAsia"/>
        </w:rPr>
        <w:t>投标文件的组成</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tabs>
          <w:tab w:val="left" w:pos="426"/>
        </w:tabs>
        <w:spacing w:line="360" w:lineRule="auto"/>
        <w:ind w:firstLine="420" w:firstLineChars="200"/>
        <w:rPr>
          <w:rFonts w:ascii="宋体"/>
        </w:rPr>
      </w:pPr>
      <w:r>
        <w:rPr>
          <w:rFonts w:ascii="宋体" w:hAnsi="宋体"/>
        </w:rPr>
        <w:t xml:space="preserve">3.1.1  </w:t>
      </w:r>
      <w:r>
        <w:rPr>
          <w:rFonts w:hint="eastAsia" w:ascii="宋体" w:hAnsi="宋体"/>
        </w:rPr>
        <w:t>投标文件应包括下列内容：</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）投标函及投标函附录；</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）法定代表人身份证明或附有法定代表人身份证明的授权委托书；</w:t>
      </w:r>
    </w:p>
    <w:p>
      <w:pPr>
        <w:spacing w:line="360" w:lineRule="auto"/>
        <w:ind w:firstLine="420" w:firstLineChars="200"/>
        <w:rPr>
          <w:rFonts w:ascii="宋体"/>
        </w:rPr>
      </w:pPr>
      <w:r>
        <w:rPr>
          <w:rFonts w:hint="eastAsia" w:ascii="宋体" w:hAnsi="宋体"/>
        </w:rPr>
        <w:t>（</w:t>
      </w:r>
      <w:r>
        <w:rPr>
          <w:rFonts w:ascii="宋体" w:hAnsi="宋体"/>
        </w:rPr>
        <w:t>3</w:t>
      </w:r>
      <w:r>
        <w:rPr>
          <w:rFonts w:hint="eastAsia" w:ascii="宋体" w:hAnsi="宋体"/>
        </w:rPr>
        <w:t>）联合体协议书；</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）投标保证金；</w:t>
      </w:r>
    </w:p>
    <w:p>
      <w:pPr>
        <w:spacing w:line="360" w:lineRule="auto"/>
        <w:ind w:firstLine="420" w:firstLineChars="200"/>
        <w:rPr>
          <w:rFonts w:ascii="宋体"/>
        </w:rPr>
      </w:pPr>
      <w:r>
        <w:rPr>
          <w:rFonts w:hint="eastAsia" w:ascii="宋体" w:hAnsi="宋体"/>
        </w:rPr>
        <w:t>（</w:t>
      </w:r>
      <w:r>
        <w:rPr>
          <w:rFonts w:ascii="宋体" w:hAnsi="宋体"/>
        </w:rPr>
        <w:t>5</w:t>
      </w:r>
      <w:r>
        <w:rPr>
          <w:rFonts w:hint="eastAsia" w:ascii="宋体" w:hAnsi="宋体"/>
        </w:rPr>
        <w:t>）已标价工程量清单；</w:t>
      </w:r>
    </w:p>
    <w:p>
      <w:pPr>
        <w:spacing w:line="360" w:lineRule="auto"/>
        <w:ind w:firstLine="420" w:firstLineChars="200"/>
        <w:rPr>
          <w:rFonts w:ascii="宋体"/>
        </w:rPr>
      </w:pPr>
      <w:r>
        <w:rPr>
          <w:rFonts w:hint="eastAsia" w:ascii="宋体" w:hAnsi="宋体"/>
        </w:rPr>
        <w:t>（</w:t>
      </w:r>
      <w:r>
        <w:rPr>
          <w:rFonts w:ascii="宋体" w:hAnsi="宋体"/>
        </w:rPr>
        <w:t>6</w:t>
      </w:r>
      <w:r>
        <w:rPr>
          <w:rFonts w:hint="eastAsia" w:ascii="宋体" w:hAnsi="宋体"/>
        </w:rPr>
        <w:t>）施工组织设计；</w:t>
      </w:r>
    </w:p>
    <w:p>
      <w:pPr>
        <w:spacing w:line="360" w:lineRule="auto"/>
        <w:ind w:firstLine="420" w:firstLineChars="200"/>
        <w:rPr>
          <w:rFonts w:ascii="宋体"/>
        </w:rPr>
      </w:pPr>
      <w:r>
        <w:rPr>
          <w:rFonts w:hint="eastAsia" w:ascii="宋体" w:hAnsi="宋体"/>
        </w:rPr>
        <w:t>（</w:t>
      </w:r>
      <w:r>
        <w:rPr>
          <w:rFonts w:ascii="宋体" w:hAnsi="宋体"/>
        </w:rPr>
        <w:t>7</w:t>
      </w:r>
      <w:r>
        <w:rPr>
          <w:rFonts w:hint="eastAsia" w:ascii="宋体" w:hAnsi="宋体"/>
        </w:rPr>
        <w:t>）项目管理机构；</w:t>
      </w:r>
    </w:p>
    <w:p>
      <w:pPr>
        <w:spacing w:line="360" w:lineRule="auto"/>
        <w:ind w:firstLine="420" w:firstLineChars="200"/>
        <w:rPr>
          <w:rFonts w:ascii="宋体"/>
        </w:rPr>
      </w:pPr>
      <w:r>
        <w:rPr>
          <w:rFonts w:hint="eastAsia" w:ascii="宋体" w:hAnsi="宋体"/>
        </w:rPr>
        <w:t>（</w:t>
      </w:r>
      <w:r>
        <w:rPr>
          <w:rFonts w:ascii="宋体" w:hAnsi="宋体"/>
        </w:rPr>
        <w:t>8</w:t>
      </w:r>
      <w:r>
        <w:rPr>
          <w:rFonts w:hint="eastAsia" w:ascii="宋体" w:hAnsi="宋体"/>
        </w:rPr>
        <w:t>）拟分包工程情况表；</w:t>
      </w:r>
    </w:p>
    <w:p>
      <w:pPr>
        <w:spacing w:line="360" w:lineRule="auto"/>
        <w:ind w:firstLine="420" w:firstLineChars="200"/>
        <w:rPr>
          <w:rFonts w:ascii="宋体"/>
        </w:rPr>
      </w:pPr>
      <w:r>
        <w:rPr>
          <w:rFonts w:hint="eastAsia" w:ascii="宋体" w:hAnsi="宋体"/>
        </w:rPr>
        <w:t>（</w:t>
      </w:r>
      <w:r>
        <w:rPr>
          <w:rFonts w:ascii="宋体" w:hAnsi="宋体"/>
        </w:rPr>
        <w:t>9</w:t>
      </w:r>
      <w:r>
        <w:rPr>
          <w:rFonts w:hint="eastAsia" w:ascii="宋体" w:hAnsi="宋体"/>
        </w:rPr>
        <w:t>）资格审查资料；</w:t>
      </w:r>
    </w:p>
    <w:p>
      <w:pPr>
        <w:spacing w:line="360" w:lineRule="auto"/>
        <w:ind w:firstLine="420" w:firstLineChars="200"/>
        <w:rPr>
          <w:rFonts w:ascii="宋体"/>
        </w:rPr>
      </w:pPr>
      <w:r>
        <w:rPr>
          <w:rFonts w:hint="eastAsia" w:ascii="宋体" w:hAnsi="宋体"/>
        </w:rPr>
        <w:t>（</w:t>
      </w:r>
      <w:r>
        <w:rPr>
          <w:rFonts w:ascii="宋体" w:hAnsi="宋体"/>
        </w:rPr>
        <w:t>10</w:t>
      </w:r>
      <w:r>
        <w:rPr>
          <w:rFonts w:hint="eastAsia" w:ascii="宋体" w:hAnsi="宋体"/>
        </w:rPr>
        <w:t>）</w:t>
      </w:r>
      <w:r>
        <w:rPr>
          <w:rFonts w:hint="eastAsia" w:ascii="宋体" w:hAnsi="宋体"/>
          <w:szCs w:val="23"/>
        </w:rPr>
        <w:t>信誉要求</w:t>
      </w:r>
      <w:r>
        <w:rPr>
          <w:rFonts w:hint="eastAsia" w:ascii="宋体" w:hAnsi="宋体"/>
        </w:rPr>
        <w:t>资料；</w:t>
      </w:r>
    </w:p>
    <w:p>
      <w:pPr>
        <w:spacing w:line="360" w:lineRule="auto"/>
        <w:ind w:firstLine="420" w:firstLineChars="200"/>
        <w:rPr>
          <w:rFonts w:ascii="宋体"/>
        </w:rPr>
      </w:pPr>
      <w:r>
        <w:rPr>
          <w:rFonts w:hint="eastAsia" w:ascii="宋体" w:hAnsi="宋体"/>
        </w:rPr>
        <w:t>（</w:t>
      </w:r>
      <w:r>
        <w:rPr>
          <w:rFonts w:ascii="宋体" w:hAnsi="宋体"/>
        </w:rPr>
        <w:t>11</w:t>
      </w:r>
      <w:r>
        <w:rPr>
          <w:rFonts w:hint="eastAsia" w:ascii="宋体" w:hAnsi="宋体"/>
        </w:rPr>
        <w:t>）其他材料</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3.1.2  </w:t>
      </w:r>
      <w:r>
        <w:rPr>
          <w:rFonts w:hint="eastAsia" w:ascii="宋体" w:hAnsi="宋体"/>
        </w:rPr>
        <w:t>第</w:t>
      </w:r>
      <w:r>
        <w:rPr>
          <w:rFonts w:ascii="宋体" w:hAnsi="宋体"/>
        </w:rPr>
        <w:t>1.4.2</w:t>
      </w:r>
      <w:r>
        <w:rPr>
          <w:rFonts w:hint="eastAsia" w:ascii="宋体" w:hAnsi="宋体"/>
        </w:rPr>
        <w:t>项规定不接受联合体投标的，或投标人没有组成联合体的，投标文件不包括本章第</w:t>
      </w:r>
      <w:r>
        <w:rPr>
          <w:rFonts w:ascii="宋体" w:hAnsi="宋体"/>
        </w:rPr>
        <w:t>3.1.1</w:t>
      </w:r>
      <w:r>
        <w:rPr>
          <w:rFonts w:hint="eastAsia" w:ascii="宋体" w:hAnsi="宋体"/>
        </w:rPr>
        <w:t>（</w:t>
      </w:r>
      <w:r>
        <w:rPr>
          <w:rFonts w:ascii="宋体" w:hAnsi="宋体"/>
        </w:rPr>
        <w:t>3</w:t>
      </w:r>
      <w:r>
        <w:rPr>
          <w:rFonts w:hint="eastAsia" w:ascii="宋体" w:hAnsi="宋体"/>
        </w:rPr>
        <w:t>）目所指的联合体协议书。</w:t>
      </w:r>
    </w:p>
    <w:p>
      <w:pPr>
        <w:spacing w:line="360" w:lineRule="auto"/>
        <w:ind w:firstLine="420" w:firstLineChars="200"/>
        <w:rPr>
          <w:rFonts w:ascii="宋体"/>
        </w:rPr>
      </w:pPr>
      <w:r>
        <w:rPr>
          <w:rFonts w:ascii="宋体" w:hAnsi="宋体"/>
        </w:rPr>
        <w:t xml:space="preserve">3.1.3  </w:t>
      </w:r>
      <w:r>
        <w:rPr>
          <w:rFonts w:hint="eastAsia" w:ascii="宋体" w:hAnsi="宋体"/>
        </w:rPr>
        <w:t>第</w:t>
      </w:r>
      <w:r>
        <w:rPr>
          <w:rFonts w:ascii="宋体" w:hAnsi="宋体"/>
        </w:rPr>
        <w:t>3.4.1</w:t>
      </w:r>
      <w:r>
        <w:rPr>
          <w:rFonts w:hint="eastAsia" w:ascii="宋体" w:hAnsi="宋体"/>
        </w:rPr>
        <w:t>项规定不要求提供投标保证金的，投标文件不包括本章第</w:t>
      </w:r>
      <w:r>
        <w:rPr>
          <w:rFonts w:ascii="宋体" w:hAnsi="宋体"/>
        </w:rPr>
        <w:t>3.1.1</w:t>
      </w:r>
      <w:r>
        <w:rPr>
          <w:rFonts w:hint="eastAsia" w:ascii="宋体" w:hAnsi="宋体"/>
        </w:rPr>
        <w:t>（</w:t>
      </w:r>
      <w:r>
        <w:rPr>
          <w:rFonts w:ascii="宋体" w:hAnsi="宋体"/>
        </w:rPr>
        <w:t>4</w:t>
      </w:r>
      <w:r>
        <w:rPr>
          <w:rFonts w:hint="eastAsia" w:ascii="宋体" w:hAnsi="宋体"/>
        </w:rPr>
        <w:t>）目所指的投标保证金。</w:t>
      </w:r>
    </w:p>
    <w:p>
      <w:pPr>
        <w:pStyle w:val="155"/>
        <w:spacing w:before="120" w:after="120"/>
      </w:pPr>
      <w:bookmarkStart w:id="424" w:name="_Toc144974516"/>
      <w:bookmarkStart w:id="425" w:name="_Toc117350347"/>
      <w:bookmarkStart w:id="426" w:name="_Toc490222426"/>
      <w:bookmarkStart w:id="427" w:name="_Toc152045548"/>
      <w:bookmarkStart w:id="428" w:name="_Toc338943719"/>
      <w:bookmarkStart w:id="429" w:name="_Toc152042324"/>
      <w:bookmarkStart w:id="430" w:name="_Toc486579980"/>
      <w:bookmarkStart w:id="431" w:name="_Toc429569119"/>
      <w:bookmarkStart w:id="432" w:name="_Toc342294733"/>
      <w:bookmarkStart w:id="433" w:name="_Toc349730860"/>
      <w:bookmarkStart w:id="434" w:name="_Toc342296181"/>
      <w:bookmarkStart w:id="435" w:name="_Toc179632566"/>
      <w:bookmarkStart w:id="436" w:name="_Toc333600702"/>
      <w:bookmarkStart w:id="437" w:name="_Toc482197530"/>
      <w:bookmarkStart w:id="438" w:name="_Toc338944624"/>
      <w:bookmarkStart w:id="439" w:name="_Toc333587872"/>
      <w:bookmarkStart w:id="440" w:name="_Toc333599678"/>
      <w:bookmarkStart w:id="441" w:name="_Toc489279793"/>
      <w:r>
        <w:t xml:space="preserve">3.2  </w:t>
      </w:r>
      <w:r>
        <w:rPr>
          <w:rFonts w:hint="eastAsia"/>
        </w:rPr>
        <w:t>投标报价</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pPr>
        <w:spacing w:line="360" w:lineRule="auto"/>
        <w:ind w:firstLine="420" w:firstLineChars="200"/>
        <w:outlineLvl w:val="3"/>
        <w:rPr>
          <w:rFonts w:ascii="宋体"/>
        </w:rPr>
      </w:pPr>
      <w:r>
        <w:rPr>
          <w:rFonts w:ascii="宋体" w:hAnsi="宋体"/>
        </w:rPr>
        <w:t xml:space="preserve">3.2.1  </w:t>
      </w:r>
      <w:r>
        <w:rPr>
          <w:rFonts w:hint="eastAsia" w:ascii="宋体" w:hAnsi="宋体"/>
        </w:rPr>
        <w:t>投标人应按第六章“工程量清单”的要求填写相应表格。</w:t>
      </w:r>
    </w:p>
    <w:p>
      <w:pPr>
        <w:spacing w:line="360" w:lineRule="auto"/>
        <w:ind w:firstLine="420" w:firstLineChars="200"/>
        <w:outlineLvl w:val="3"/>
        <w:rPr>
          <w:rFonts w:ascii="宋体"/>
        </w:rPr>
      </w:pPr>
      <w:r>
        <w:rPr>
          <w:rFonts w:ascii="宋体" w:hAnsi="宋体"/>
        </w:rPr>
        <w:t xml:space="preserve">3.2.2  </w:t>
      </w:r>
      <w:r>
        <w:rPr>
          <w:rFonts w:hint="eastAsia" w:ascii="宋体" w:hAnsi="宋体"/>
        </w:rPr>
        <w:t>本次招标设置最高投标限价的，投标人的投标报价总价不得超出（不含等于）给定的最高投标限价金额。是否设置最高投标限价和最高投标限价金额、组成及相关约定</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3.2.3  </w:t>
      </w:r>
      <w:r>
        <w:rPr>
          <w:rFonts w:hint="eastAsia" w:ascii="宋体" w:hAnsi="宋体"/>
        </w:rPr>
        <w:t>投标人在投标截止时间前修改投标函中的投标总报价，应同时修改第六章“工程量清单”中的相应报价。此修改须符合本章第</w:t>
      </w:r>
      <w:r>
        <w:rPr>
          <w:rFonts w:ascii="宋体" w:hAnsi="宋体"/>
        </w:rPr>
        <w:t>4.3</w:t>
      </w:r>
      <w:r>
        <w:rPr>
          <w:rFonts w:hint="eastAsia" w:ascii="宋体" w:hAnsi="宋体"/>
        </w:rPr>
        <w:t>款的有关要求。</w:t>
      </w:r>
    </w:p>
    <w:p>
      <w:pPr>
        <w:pStyle w:val="155"/>
        <w:spacing w:before="120" w:after="120"/>
      </w:pPr>
      <w:bookmarkStart w:id="442" w:name="_Toc179632567"/>
      <w:bookmarkStart w:id="443" w:name="_Toc152042325"/>
      <w:bookmarkStart w:id="444" w:name="_Toc489279794"/>
      <w:bookmarkStart w:id="445" w:name="_Toc486579981"/>
      <w:bookmarkStart w:id="446" w:name="_Toc152045549"/>
      <w:bookmarkStart w:id="447" w:name="_Toc349730861"/>
      <w:bookmarkStart w:id="448" w:name="_Toc342296182"/>
      <w:bookmarkStart w:id="449" w:name="_Toc333599679"/>
      <w:bookmarkStart w:id="450" w:name="_Toc482197531"/>
      <w:bookmarkStart w:id="451" w:name="_Toc117350348"/>
      <w:bookmarkStart w:id="452" w:name="_Toc333600703"/>
      <w:bookmarkStart w:id="453" w:name="_Toc333587873"/>
      <w:bookmarkStart w:id="454" w:name="_Toc490222427"/>
      <w:bookmarkStart w:id="455" w:name="_Toc338943720"/>
      <w:bookmarkStart w:id="456" w:name="_Toc429569120"/>
      <w:bookmarkStart w:id="457" w:name="_Toc338944625"/>
      <w:bookmarkStart w:id="458" w:name="_Toc342294734"/>
      <w:bookmarkStart w:id="459" w:name="_Toc144974517"/>
      <w:r>
        <w:t xml:space="preserve">3.3  </w:t>
      </w:r>
      <w:r>
        <w:rPr>
          <w:rFonts w:hint="eastAsia"/>
        </w:rPr>
        <w:t>投标有效期</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spacing w:line="360" w:lineRule="auto"/>
        <w:ind w:firstLine="420" w:firstLineChars="200"/>
        <w:outlineLvl w:val="3"/>
        <w:rPr>
          <w:rFonts w:ascii="宋体"/>
        </w:rPr>
      </w:pPr>
      <w:r>
        <w:rPr>
          <w:rFonts w:ascii="宋体" w:hAnsi="宋体"/>
        </w:rPr>
        <w:t xml:space="preserve">3.3.1  </w:t>
      </w:r>
      <w:r>
        <w:rPr>
          <w:rFonts w:hint="eastAsia" w:ascii="宋体" w:hAnsi="宋体"/>
        </w:rPr>
        <w:t>在规定的投标有效期内，投标人不得要求撤销或修改其投标文件。投标有效期的规定</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3.3.2  </w:t>
      </w:r>
      <w:r>
        <w:rPr>
          <w:rFonts w:hint="eastAsia" w:ascii="宋体" w:hAnsi="宋体"/>
        </w:rPr>
        <w:t>出现特殊情况需要延长投标有效期的，招标人通过电子化平台通知所有投标人延长投标有效期。投标人同意延长的，应相应延长其投标保证金的有效期，但不得要求或被允许修改或撤销其投标文件；投标人拒绝延长的，其投标失效，但投标人有权收回其投标保证金。</w:t>
      </w:r>
    </w:p>
    <w:p>
      <w:pPr>
        <w:pStyle w:val="155"/>
        <w:spacing w:before="120" w:after="120"/>
      </w:pPr>
      <w:bookmarkStart w:id="460" w:name="_Toc429569121"/>
      <w:bookmarkStart w:id="461" w:name="_Toc152042326"/>
      <w:bookmarkStart w:id="462" w:name="_Toc349730862"/>
      <w:bookmarkStart w:id="463" w:name="_Toc342296183"/>
      <w:bookmarkStart w:id="464" w:name="_Toc144974518"/>
      <w:bookmarkStart w:id="465" w:name="_Toc338944626"/>
      <w:bookmarkStart w:id="466" w:name="_Toc482197532"/>
      <w:bookmarkStart w:id="467" w:name="_Toc333600704"/>
      <w:bookmarkStart w:id="468" w:name="_Toc486579982"/>
      <w:bookmarkStart w:id="469" w:name="_Toc117350349"/>
      <w:bookmarkStart w:id="470" w:name="_Toc333599680"/>
      <w:bookmarkStart w:id="471" w:name="_Toc179632568"/>
      <w:bookmarkStart w:id="472" w:name="_Toc152045550"/>
      <w:bookmarkStart w:id="473" w:name="_Toc490222428"/>
      <w:bookmarkStart w:id="474" w:name="_Toc342294735"/>
      <w:bookmarkStart w:id="475" w:name="_Toc489279795"/>
      <w:bookmarkStart w:id="476" w:name="_Toc338943721"/>
      <w:bookmarkStart w:id="477" w:name="_Toc333587874"/>
      <w:r>
        <w:t xml:space="preserve">3.4  </w:t>
      </w:r>
      <w:r>
        <w:rPr>
          <w:rFonts w:hint="eastAsia"/>
        </w:rPr>
        <w:t>投标保证金</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spacing w:line="360" w:lineRule="auto"/>
        <w:ind w:firstLine="420" w:firstLineChars="200"/>
        <w:outlineLvl w:val="3"/>
        <w:rPr>
          <w:rFonts w:ascii="宋体"/>
        </w:rPr>
      </w:pPr>
      <w:r>
        <w:rPr>
          <w:rFonts w:ascii="宋体" w:hAnsi="宋体"/>
        </w:rPr>
        <w:t xml:space="preserve">3.4.1  </w:t>
      </w:r>
      <w:r>
        <w:rPr>
          <w:rFonts w:hint="eastAsia" w:ascii="宋体" w:hAnsi="宋体"/>
        </w:rPr>
        <w:t>本次招标规定投标人提交投标保证金的，投标人在递交投标文件的同时，应按本章专用部分规定的金额、担保形式和第八章“投标文件格式”相关规定递交投标保证金，并作为其投标文件的组成部分。联合体投标的，其投标保证金由牵头人递交，并应符合关于投标保证金的规定。是否提交投标保证金及投标保证金的金额、担保形式等要求</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3.4.2  </w:t>
      </w:r>
      <w:r>
        <w:rPr>
          <w:rFonts w:hint="eastAsia" w:ascii="宋体" w:hAnsi="宋体"/>
        </w:rPr>
        <w:t>投标人提交投标保证金不得存在第三章“评标办法”附件</w:t>
      </w:r>
      <w:r>
        <w:rPr>
          <w:rFonts w:ascii="宋体" w:hAnsi="宋体"/>
        </w:rPr>
        <w:t>A</w:t>
      </w:r>
      <w:r>
        <w:rPr>
          <w:rFonts w:hint="eastAsia" w:ascii="宋体" w:hAnsi="宋体"/>
        </w:rPr>
        <w:t>的规定的情形。</w:t>
      </w:r>
    </w:p>
    <w:p>
      <w:pPr>
        <w:spacing w:line="360" w:lineRule="auto"/>
        <w:ind w:firstLine="420" w:firstLineChars="200"/>
        <w:outlineLvl w:val="3"/>
        <w:rPr>
          <w:rFonts w:ascii="宋体"/>
        </w:rPr>
      </w:pPr>
      <w:r>
        <w:rPr>
          <w:rFonts w:ascii="宋体" w:hAnsi="宋体"/>
        </w:rPr>
        <w:t xml:space="preserve">3.4.3  </w:t>
      </w:r>
      <w:r>
        <w:rPr>
          <w:rFonts w:hint="eastAsia" w:ascii="宋体" w:hAnsi="宋体"/>
        </w:rPr>
        <w:t>投标人应当将投标保证金凭证的“扫描件”放入投标文件中。</w:t>
      </w:r>
    </w:p>
    <w:p>
      <w:pPr>
        <w:spacing w:line="360" w:lineRule="auto"/>
        <w:ind w:firstLine="420" w:firstLineChars="200"/>
        <w:outlineLvl w:val="3"/>
        <w:rPr>
          <w:rFonts w:ascii="宋体"/>
        </w:rPr>
      </w:pPr>
      <w:r>
        <w:rPr>
          <w:rFonts w:ascii="宋体" w:hAnsi="宋体"/>
        </w:rPr>
        <w:t xml:space="preserve">3.4.4  </w:t>
      </w:r>
      <w:r>
        <w:rPr>
          <w:rFonts w:hint="eastAsia" w:ascii="宋体" w:hAnsi="宋体"/>
        </w:rPr>
        <w:t>投标保证金有效期应当与投标有效期一致。</w:t>
      </w:r>
    </w:p>
    <w:p>
      <w:pPr>
        <w:spacing w:line="360" w:lineRule="auto"/>
        <w:ind w:firstLine="420" w:firstLineChars="200"/>
        <w:outlineLvl w:val="3"/>
        <w:rPr>
          <w:rFonts w:ascii="宋体"/>
        </w:rPr>
      </w:pPr>
      <w:r>
        <w:rPr>
          <w:rFonts w:ascii="宋体" w:hAnsi="宋体"/>
        </w:rPr>
        <w:t xml:space="preserve">3.4.5  </w:t>
      </w:r>
      <w:r>
        <w:rPr>
          <w:rFonts w:hint="eastAsia" w:ascii="宋体" w:hAnsi="宋体"/>
        </w:rPr>
        <w:t>招标人与中标人签订合同后</w:t>
      </w:r>
      <w:r>
        <w:rPr>
          <w:rFonts w:ascii="宋体" w:hAnsi="宋体"/>
        </w:rPr>
        <w:t>5</w:t>
      </w:r>
      <w:r>
        <w:rPr>
          <w:rFonts w:hint="eastAsia" w:ascii="宋体" w:hAnsi="宋体"/>
        </w:rPr>
        <w:t>日内，向未中标的投标人和中标人退还投标保证金。</w:t>
      </w:r>
      <w:r>
        <w:rPr>
          <w:rFonts w:hint="eastAsia" w:ascii="宋体" w:hAnsi="宋体"/>
          <w:kern w:val="0"/>
          <w:position w:val="-2"/>
          <w:szCs w:val="21"/>
        </w:rPr>
        <w:t>投标保证金以可产生利息的保证金形式提交的，招标人应当</w:t>
      </w:r>
      <w:r>
        <w:rPr>
          <w:rFonts w:hint="eastAsia" w:ascii="宋体" w:hAnsi="宋体"/>
        </w:rPr>
        <w:t>按规定</w:t>
      </w:r>
      <w:r>
        <w:rPr>
          <w:rFonts w:hint="eastAsia" w:ascii="宋体" w:hAnsi="宋体"/>
          <w:kern w:val="0"/>
          <w:position w:val="-2"/>
          <w:szCs w:val="21"/>
        </w:rPr>
        <w:t>退还投标保证金的利息。投标保证金利息的计算标准、计算起始时间及退还方式</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3.4.6  </w:t>
      </w:r>
      <w:r>
        <w:rPr>
          <w:rFonts w:hint="eastAsia" w:ascii="宋体" w:hAnsi="宋体"/>
        </w:rPr>
        <w:t>有下列情形之一的，投标保证金将不予退还：</w:t>
      </w:r>
    </w:p>
    <w:p>
      <w:pPr>
        <w:spacing w:line="360" w:lineRule="auto"/>
        <w:ind w:firstLine="424" w:firstLineChars="202"/>
        <w:outlineLvl w:val="3"/>
        <w:rPr>
          <w:rFonts w:ascii="宋体"/>
        </w:rPr>
      </w:pPr>
      <w:r>
        <w:rPr>
          <w:rFonts w:hint="eastAsia" w:ascii="宋体" w:hAnsi="宋体"/>
        </w:rPr>
        <w:t>（</w:t>
      </w:r>
      <w:r>
        <w:rPr>
          <w:rFonts w:ascii="宋体" w:hAnsi="宋体"/>
        </w:rPr>
        <w:t>1</w:t>
      </w:r>
      <w:r>
        <w:rPr>
          <w:rFonts w:hint="eastAsia" w:ascii="宋体" w:hAnsi="宋体"/>
        </w:rPr>
        <w:t>）投标人在规定的投标有效期内撤销或修改其投标文件；</w:t>
      </w:r>
    </w:p>
    <w:p>
      <w:pPr>
        <w:spacing w:line="360" w:lineRule="auto"/>
        <w:ind w:firstLine="424" w:firstLineChars="202"/>
        <w:outlineLvl w:val="3"/>
        <w:rPr>
          <w:rFonts w:ascii="宋体"/>
        </w:rPr>
      </w:pPr>
      <w:r>
        <w:rPr>
          <w:rFonts w:hint="eastAsia" w:ascii="宋体" w:hAnsi="宋体"/>
        </w:rPr>
        <w:t>（</w:t>
      </w:r>
      <w:r>
        <w:rPr>
          <w:rFonts w:ascii="宋体" w:hAnsi="宋体"/>
        </w:rPr>
        <w:t>2</w:t>
      </w:r>
      <w:r>
        <w:rPr>
          <w:rFonts w:hint="eastAsia" w:ascii="宋体" w:hAnsi="宋体"/>
        </w:rPr>
        <w:t>）中标人在收到中标通知书后，无正当理由拒签合同协议书或未按招标文件规定提交履约担保。</w:t>
      </w:r>
    </w:p>
    <w:p>
      <w:pPr>
        <w:pStyle w:val="155"/>
        <w:spacing w:before="120" w:after="120"/>
      </w:pPr>
      <w:bookmarkStart w:id="478" w:name="_Toc482197533"/>
      <w:bookmarkStart w:id="479" w:name="_Toc333587876"/>
      <w:bookmarkStart w:id="480" w:name="_Toc152042328"/>
      <w:bookmarkStart w:id="481" w:name="_Toc333600706"/>
      <w:bookmarkStart w:id="482" w:name="_Toc490222429"/>
      <w:bookmarkStart w:id="483" w:name="_Toc144974520"/>
      <w:bookmarkStart w:id="484" w:name="_Toc342296185"/>
      <w:bookmarkStart w:id="485" w:name="_Toc333599682"/>
      <w:bookmarkStart w:id="486" w:name="_Toc338944628"/>
      <w:bookmarkStart w:id="487" w:name="_Toc117350350"/>
      <w:bookmarkStart w:id="488" w:name="_Toc349730864"/>
      <w:bookmarkStart w:id="489" w:name="_Toc179632570"/>
      <w:bookmarkStart w:id="490" w:name="_Toc152045552"/>
      <w:bookmarkStart w:id="491" w:name="_Toc429569123"/>
      <w:bookmarkStart w:id="492" w:name="_Toc486579983"/>
      <w:bookmarkStart w:id="493" w:name="_Toc338943723"/>
      <w:bookmarkStart w:id="494" w:name="_Toc489279796"/>
      <w:bookmarkStart w:id="495" w:name="_Toc342294737"/>
      <w:r>
        <w:t xml:space="preserve">3.5  </w:t>
      </w:r>
      <w:r>
        <w:rPr>
          <w:rFonts w:hint="eastAsia"/>
        </w:rPr>
        <w:t>资格审查资料</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spacing w:line="360" w:lineRule="auto"/>
        <w:ind w:firstLine="420" w:firstLineChars="200"/>
        <w:outlineLvl w:val="3"/>
        <w:rPr>
          <w:rFonts w:ascii="宋体"/>
        </w:rPr>
      </w:pPr>
      <w:r>
        <w:rPr>
          <w:rFonts w:hint="eastAsia" w:ascii="宋体" w:hAnsi="宋体"/>
        </w:rPr>
        <w:t>投标人应按照第八章“投标文件格式”中提供的格式及要求，编制资格审查资料。按照投标人须知第</w:t>
      </w:r>
      <w:r>
        <w:rPr>
          <w:rFonts w:ascii="宋体" w:hAnsi="宋体"/>
        </w:rPr>
        <w:t>1.4.2</w:t>
      </w:r>
      <w:r>
        <w:rPr>
          <w:rFonts w:hint="eastAsia" w:ascii="宋体" w:hAnsi="宋体"/>
        </w:rPr>
        <w:t>项规定接受联合体投标的，本章</w:t>
      </w:r>
      <w:r>
        <w:rPr>
          <w:rFonts w:ascii="宋体" w:hAnsi="宋体"/>
        </w:rPr>
        <w:t>1.4.1</w:t>
      </w:r>
      <w:r>
        <w:rPr>
          <w:rFonts w:hint="eastAsia" w:ascii="宋体" w:hAnsi="宋体"/>
        </w:rPr>
        <w:t>项规定的资格审查资料应包括联合体各方相关情况。资格审查资料相关要求</w:t>
      </w:r>
      <w:r>
        <w:rPr>
          <w:rFonts w:hint="eastAsia" w:ascii="黑体" w:hAnsi="黑体" w:eastAsia="黑体"/>
        </w:rPr>
        <w:t>见投标人须知专用部分。</w:t>
      </w:r>
    </w:p>
    <w:p>
      <w:pPr>
        <w:pStyle w:val="155"/>
        <w:spacing w:before="120" w:after="120"/>
      </w:pPr>
      <w:bookmarkStart w:id="496" w:name="_Toc144974521"/>
      <w:bookmarkStart w:id="497" w:name="_Toc338944629"/>
      <w:bookmarkStart w:id="498" w:name="_Toc152042329"/>
      <w:bookmarkStart w:id="499" w:name="_Toc482197534"/>
      <w:bookmarkStart w:id="500" w:name="_Toc152045553"/>
      <w:bookmarkStart w:id="501" w:name="_Toc338943724"/>
      <w:bookmarkStart w:id="502" w:name="_Toc333587877"/>
      <w:bookmarkStart w:id="503" w:name="_Toc179632571"/>
      <w:bookmarkStart w:id="504" w:name="_Toc342294738"/>
      <w:bookmarkStart w:id="505" w:name="_Toc117350351"/>
      <w:bookmarkStart w:id="506" w:name="_Toc333599683"/>
      <w:bookmarkStart w:id="507" w:name="_Toc486579984"/>
      <w:bookmarkStart w:id="508" w:name="_Toc429569124"/>
      <w:bookmarkStart w:id="509" w:name="_Toc342296186"/>
      <w:bookmarkStart w:id="510" w:name="_Toc349730865"/>
      <w:bookmarkStart w:id="511" w:name="_Toc490222430"/>
      <w:bookmarkStart w:id="512" w:name="_Toc489279797"/>
      <w:bookmarkStart w:id="513" w:name="_Toc333600707"/>
      <w:r>
        <w:t xml:space="preserve">3.6  </w:t>
      </w:r>
      <w:r>
        <w:rPr>
          <w:rFonts w:hint="eastAsia"/>
        </w:rPr>
        <w:t>备选投标方案</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spacing w:line="360" w:lineRule="auto"/>
        <w:ind w:firstLine="420" w:firstLineChars="200"/>
        <w:outlineLvl w:val="3"/>
        <w:rPr>
          <w:rFonts w:ascii="宋体"/>
        </w:rPr>
      </w:pPr>
      <w:r>
        <w:rPr>
          <w:rFonts w:ascii="宋体" w:hAnsi="宋体"/>
        </w:rPr>
        <w:t xml:space="preserve">3.6.1  </w:t>
      </w:r>
      <w:r>
        <w:rPr>
          <w:rFonts w:hint="eastAsia" w:ascii="宋体" w:hAnsi="宋体"/>
        </w:rPr>
        <w:t>除本项规定递交备选投标方案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r>
        <w:rPr>
          <w:rFonts w:hint="eastAsia" w:ascii="宋体" w:hAnsi="宋体" w:cs="Arial"/>
          <w:szCs w:val="21"/>
        </w:rPr>
        <w:t>是否允许递交备选投标方案</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3.6.2  </w:t>
      </w:r>
      <w:r>
        <w:rPr>
          <w:rFonts w:hint="eastAsia" w:ascii="宋体" w:hAnsi="宋体"/>
        </w:rPr>
        <w:t>允许投标人递交备选投标方案的，</w:t>
      </w:r>
      <w:r>
        <w:rPr>
          <w:rFonts w:hint="eastAsia" w:ascii="宋体" w:hAnsi="宋体"/>
          <w:szCs w:val="21"/>
        </w:rPr>
        <w:t>招标人将根据招标工程的具体情况和第三章“评标办法”规定的备选投标方案评审和比较方法，对备选投标方案是否或在多大程度上可以偏离投标文件相关实质性要求、备选投标方案的组成内容、制作和递交等编制要求给予具体规定。备选投标方案的编制要求</w:t>
      </w:r>
      <w:r>
        <w:rPr>
          <w:rFonts w:hint="eastAsia" w:ascii="黑体" w:hAnsi="黑体" w:eastAsia="黑体"/>
        </w:rPr>
        <w:t>见投标人须知专用部分</w:t>
      </w:r>
      <w:r>
        <w:rPr>
          <w:rFonts w:hint="eastAsia" w:ascii="宋体" w:hAnsi="宋体"/>
          <w:szCs w:val="21"/>
        </w:rPr>
        <w:t>。</w:t>
      </w:r>
    </w:p>
    <w:p>
      <w:pPr>
        <w:pStyle w:val="155"/>
        <w:spacing w:before="120" w:after="120"/>
      </w:pPr>
      <w:bookmarkStart w:id="514" w:name="_Toc117350352"/>
      <w:bookmarkStart w:id="515" w:name="_Toc342296187"/>
      <w:bookmarkStart w:id="516" w:name="_Toc486579985"/>
      <w:bookmarkStart w:id="517" w:name="_Toc349730866"/>
      <w:bookmarkStart w:id="518" w:name="_Toc333599684"/>
      <w:bookmarkStart w:id="519" w:name="_Toc144974522"/>
      <w:bookmarkStart w:id="520" w:name="_Toc490222431"/>
      <w:bookmarkStart w:id="521" w:name="_Toc342294739"/>
      <w:bookmarkStart w:id="522" w:name="_Toc482197535"/>
      <w:bookmarkStart w:id="523" w:name="_Toc429569125"/>
      <w:bookmarkStart w:id="524" w:name="_Toc152045554"/>
      <w:bookmarkStart w:id="525" w:name="_Toc338943725"/>
      <w:bookmarkStart w:id="526" w:name="_Toc152042330"/>
      <w:bookmarkStart w:id="527" w:name="_Toc338944630"/>
      <w:bookmarkStart w:id="528" w:name="_Toc333600708"/>
      <w:bookmarkStart w:id="529" w:name="_Toc179632572"/>
      <w:bookmarkStart w:id="530" w:name="_Toc333587878"/>
      <w:bookmarkStart w:id="531" w:name="_Toc489279798"/>
      <w:r>
        <w:t xml:space="preserve">3.7  </w:t>
      </w:r>
      <w:r>
        <w:rPr>
          <w:rFonts w:hint="eastAsia"/>
        </w:rPr>
        <w:t>投标文件的编制</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spacing w:line="360" w:lineRule="auto"/>
        <w:ind w:firstLine="420" w:firstLineChars="200"/>
        <w:outlineLvl w:val="3"/>
        <w:rPr>
          <w:rFonts w:ascii="宋体"/>
        </w:rPr>
      </w:pPr>
      <w:r>
        <w:rPr>
          <w:rFonts w:ascii="宋体" w:hAnsi="宋体"/>
        </w:rPr>
        <w:t xml:space="preserve">3.7.1  </w:t>
      </w:r>
      <w:r>
        <w:rPr>
          <w:rFonts w:hint="eastAsia" w:ascii="宋体" w:hAnsi="宋体"/>
        </w:rPr>
        <w:t>投标文件应按照第八章“投标文件格式”及本须知第</w:t>
      </w:r>
      <w:r>
        <w:rPr>
          <w:rFonts w:ascii="宋体" w:hAnsi="宋体"/>
        </w:rPr>
        <w:t>3.5</w:t>
      </w:r>
      <w:r>
        <w:rPr>
          <w:rFonts w:hint="eastAsia" w:ascii="宋体" w:hAnsi="宋体"/>
        </w:rPr>
        <w:t>款资格审查资料等相关要求进行编写，如有必要，可以增加附页，作为投标文件的组成部分。其中，投标函附录在满足招标文件实质性要求的基础上，可以提出比招标文件要求更有利于招标人的承诺。</w:t>
      </w:r>
    </w:p>
    <w:p>
      <w:pPr>
        <w:spacing w:line="360" w:lineRule="auto"/>
        <w:ind w:firstLine="420" w:firstLineChars="200"/>
        <w:outlineLvl w:val="3"/>
        <w:rPr>
          <w:rFonts w:ascii="宋体"/>
          <w:szCs w:val="21"/>
        </w:rPr>
      </w:pPr>
      <w:r>
        <w:rPr>
          <w:rFonts w:ascii="宋体" w:hAnsi="宋体"/>
        </w:rPr>
        <w:t xml:space="preserve">3.7.2  </w:t>
      </w:r>
      <w:r>
        <w:rPr>
          <w:rFonts w:hint="eastAsia" w:ascii="宋体" w:hAnsi="宋体"/>
        </w:rPr>
        <w:t>投标文件应当对招标文件有关</w:t>
      </w:r>
      <w:r>
        <w:rPr>
          <w:rFonts w:hint="eastAsia" w:ascii="宋体" w:hAnsi="宋体"/>
          <w:szCs w:val="21"/>
        </w:rPr>
        <w:t>工期、投标有效期、质量要求、技术标准和要求、招标范围等实质性内容作出响应。</w:t>
      </w:r>
    </w:p>
    <w:p>
      <w:pPr>
        <w:spacing w:line="360" w:lineRule="auto"/>
        <w:ind w:firstLine="420" w:firstLineChars="200"/>
        <w:outlineLvl w:val="3"/>
        <w:rPr>
          <w:rFonts w:ascii="宋体"/>
        </w:rPr>
      </w:pPr>
      <w:r>
        <w:rPr>
          <w:rFonts w:ascii="宋体" w:hAnsi="宋体"/>
        </w:rPr>
        <w:t xml:space="preserve">3.7.3  </w:t>
      </w:r>
      <w:r>
        <w:rPr>
          <w:rFonts w:hint="eastAsia" w:ascii="宋体" w:hAnsi="宋体"/>
        </w:rPr>
        <w:t>投标人应当使用电子化平台认可的</w:t>
      </w:r>
      <w:r>
        <w:rPr>
          <w:rFonts w:hint="eastAsia" w:ascii="宋体"/>
        </w:rPr>
        <w:t>“</w:t>
      </w:r>
      <w:r>
        <w:rPr>
          <w:rFonts w:hint="eastAsia" w:ascii="宋体" w:hAnsi="宋体"/>
        </w:rPr>
        <w:t>电子标书制作工具</w:t>
      </w:r>
      <w:r>
        <w:rPr>
          <w:rFonts w:hint="eastAsia" w:ascii="宋体"/>
        </w:rPr>
        <w:t>”</w:t>
      </w:r>
      <w:r>
        <w:rPr>
          <w:rFonts w:hint="eastAsia" w:ascii="宋体" w:hAnsi="宋体"/>
        </w:rPr>
        <w:t>制作投标文件（含澄清、说明文件），并按第八章“投标文件格式”要求盖电子化平台认可的个人</w:t>
      </w:r>
      <w:r>
        <w:rPr>
          <w:rFonts w:ascii="宋体" w:hAnsi="宋体"/>
        </w:rPr>
        <w:t>CA</w:t>
      </w:r>
      <w:r>
        <w:rPr>
          <w:rFonts w:hint="eastAsia" w:ascii="宋体" w:hAnsi="宋体"/>
          <w:szCs w:val="21"/>
        </w:rPr>
        <w:t>电子</w:t>
      </w:r>
      <w:r>
        <w:rPr>
          <w:rFonts w:hint="eastAsia" w:ascii="宋体" w:hAnsi="宋体"/>
        </w:rPr>
        <w:t>印章（下同）和（或）电子化平台认可的企业</w:t>
      </w:r>
      <w:r>
        <w:rPr>
          <w:rFonts w:ascii="宋体" w:hAnsi="宋体"/>
        </w:rPr>
        <w:t>CA</w:t>
      </w:r>
      <w:r>
        <w:rPr>
          <w:rFonts w:hint="eastAsia" w:ascii="宋体" w:hAnsi="宋体"/>
          <w:szCs w:val="21"/>
        </w:rPr>
        <w:t>电子</w:t>
      </w:r>
      <w:r>
        <w:rPr>
          <w:rFonts w:hint="eastAsia" w:ascii="宋体" w:hAnsi="宋体"/>
        </w:rPr>
        <w:t>印章（下同）。盖</w:t>
      </w:r>
      <w:r>
        <w:rPr>
          <w:rFonts w:hint="eastAsia" w:ascii="宋体" w:hAnsi="宋体" w:cs="Arial"/>
          <w:szCs w:val="21"/>
        </w:rPr>
        <w:t>委托代理人</w:t>
      </w:r>
      <w:r>
        <w:rPr>
          <w:rFonts w:hint="eastAsia" w:ascii="宋体" w:hAnsi="宋体"/>
        </w:rPr>
        <w:t>个人</w:t>
      </w:r>
      <w:r>
        <w:rPr>
          <w:rFonts w:ascii="宋体" w:hAnsi="宋体"/>
        </w:rPr>
        <w:t>CA</w:t>
      </w:r>
      <w:r>
        <w:rPr>
          <w:rFonts w:hint="eastAsia" w:ascii="宋体" w:hAnsi="宋体"/>
          <w:szCs w:val="21"/>
        </w:rPr>
        <w:t>电子</w:t>
      </w:r>
      <w:r>
        <w:rPr>
          <w:rFonts w:hint="eastAsia" w:ascii="宋体" w:hAnsi="宋体"/>
        </w:rPr>
        <w:t>印章的，投标文件应附法定代表人签署的授权委托书。投标文件避免涂改、行间插字或删除。如果出现上述情况，改动之处应盖企业</w:t>
      </w:r>
      <w:r>
        <w:rPr>
          <w:rFonts w:ascii="宋体" w:hAnsi="宋体"/>
        </w:rPr>
        <w:t>CA</w:t>
      </w:r>
      <w:r>
        <w:rPr>
          <w:rFonts w:hint="eastAsia" w:ascii="宋体" w:hAnsi="宋体"/>
          <w:szCs w:val="21"/>
        </w:rPr>
        <w:t>电子</w:t>
      </w:r>
      <w:r>
        <w:rPr>
          <w:rFonts w:hint="eastAsia" w:ascii="宋体" w:hAnsi="宋体"/>
        </w:rPr>
        <w:t>印章或由投标人的法定代表人或其委托代理人盖个人</w:t>
      </w:r>
      <w:r>
        <w:rPr>
          <w:rFonts w:ascii="宋体" w:hAnsi="宋体"/>
        </w:rPr>
        <w:t>CA</w:t>
      </w:r>
      <w:r>
        <w:rPr>
          <w:rFonts w:hint="eastAsia" w:ascii="宋体" w:hAnsi="宋体"/>
          <w:szCs w:val="21"/>
        </w:rPr>
        <w:t>电子</w:t>
      </w:r>
      <w:r>
        <w:rPr>
          <w:rFonts w:hint="eastAsia" w:ascii="宋体" w:hAnsi="宋体"/>
        </w:rPr>
        <w:t>印章确认</w:t>
      </w:r>
      <w:bookmarkStart w:id="532" w:name="_Hlk115162369"/>
      <w:r>
        <w:rPr>
          <w:rFonts w:hint="eastAsia" w:ascii="宋体" w:hAnsi="宋体"/>
        </w:rPr>
        <w:t>。</w:t>
      </w:r>
      <w:r>
        <w:rPr>
          <w:rFonts w:ascii="宋体" w:hAnsi="宋体"/>
        </w:rPr>
        <w:t>CA</w:t>
      </w:r>
      <w:r>
        <w:rPr>
          <w:rFonts w:hint="eastAsia" w:ascii="宋体" w:hAnsi="宋体"/>
          <w:szCs w:val="21"/>
        </w:rPr>
        <w:t>电子</w:t>
      </w:r>
      <w:r>
        <w:rPr>
          <w:rFonts w:hint="eastAsia" w:ascii="宋体" w:hAnsi="宋体"/>
        </w:rPr>
        <w:t>印章</w:t>
      </w:r>
      <w:bookmarkStart w:id="533" w:name="_Hlk117236690"/>
      <w:r>
        <w:rPr>
          <w:rFonts w:hint="eastAsia" w:ascii="宋体" w:hAnsi="宋体"/>
        </w:rPr>
        <w:t>签章</w:t>
      </w:r>
      <w:bookmarkEnd w:id="533"/>
      <w:r>
        <w:rPr>
          <w:rFonts w:hint="eastAsia" w:ascii="宋体" w:hAnsi="宋体"/>
        </w:rPr>
        <w:t>的其他要求</w:t>
      </w:r>
      <w:r>
        <w:rPr>
          <w:rFonts w:hint="eastAsia" w:ascii="黑体" w:hAnsi="黑体" w:eastAsia="黑体"/>
        </w:rPr>
        <w:t>见投标人须知专用部分</w:t>
      </w:r>
      <w:r>
        <w:rPr>
          <w:rFonts w:hint="eastAsia" w:ascii="宋体" w:hAnsi="宋体"/>
        </w:rPr>
        <w:t>。</w:t>
      </w:r>
      <w:bookmarkEnd w:id="532"/>
    </w:p>
    <w:p>
      <w:pPr>
        <w:spacing w:line="360" w:lineRule="auto"/>
        <w:ind w:firstLine="420" w:firstLineChars="200"/>
        <w:outlineLvl w:val="3"/>
        <w:rPr>
          <w:rFonts w:ascii="宋体"/>
        </w:rPr>
      </w:pPr>
      <w:r>
        <w:rPr>
          <w:rFonts w:ascii="宋体" w:hAnsi="宋体"/>
        </w:rPr>
        <w:t xml:space="preserve">3.7.4  </w:t>
      </w:r>
      <w:r>
        <w:rPr>
          <w:rFonts w:hint="eastAsia" w:ascii="宋体" w:hAnsi="宋体"/>
        </w:rPr>
        <w:t>投标人编制投标文件时，对其</w:t>
      </w:r>
      <w:bookmarkStart w:id="534" w:name="_Hlk103677225"/>
      <w:r>
        <w:rPr>
          <w:rFonts w:hint="eastAsia" w:ascii="宋体" w:hAnsi="宋体"/>
        </w:rPr>
        <w:t>施工组织设计</w:t>
      </w:r>
      <w:bookmarkEnd w:id="534"/>
      <w:r>
        <w:rPr>
          <w:rFonts w:hint="eastAsia" w:ascii="宋体" w:hAnsi="宋体"/>
        </w:rPr>
        <w:t>内容应按照第三章“评标办法”专用部分附表</w:t>
      </w:r>
      <w:r>
        <w:rPr>
          <w:rFonts w:ascii="宋体" w:hAnsi="宋体"/>
        </w:rPr>
        <w:t>8</w:t>
      </w:r>
      <w:r>
        <w:rPr>
          <w:rFonts w:hint="eastAsia" w:ascii="宋体" w:hAnsi="宋体"/>
        </w:rPr>
        <w:t>“施工组织设计评审记录表”中规定的模块进行编制。</w:t>
      </w:r>
    </w:p>
    <w:p>
      <w:pPr>
        <w:spacing w:line="360" w:lineRule="auto"/>
        <w:ind w:firstLine="420" w:firstLineChars="200"/>
        <w:outlineLvl w:val="3"/>
        <w:rPr>
          <w:rFonts w:ascii="宋体"/>
        </w:rPr>
      </w:pPr>
      <w:r>
        <w:rPr>
          <w:rFonts w:ascii="宋体" w:hAnsi="宋体"/>
        </w:rPr>
        <w:t xml:space="preserve">3.7.5  </w:t>
      </w:r>
      <w:r>
        <w:rPr>
          <w:rFonts w:hint="eastAsia" w:ascii="宋体" w:hAnsi="宋体" w:cs="Arial"/>
          <w:szCs w:val="21"/>
        </w:rPr>
        <w:t>施工组织设计采用“暗标”评审方式，施工组织设计的</w:t>
      </w:r>
      <w:r>
        <w:rPr>
          <w:rFonts w:hint="eastAsia" w:ascii="宋体" w:hAnsi="宋体"/>
        </w:rPr>
        <w:t>编制与制作应符合相关要求，内容编制与制作要求</w:t>
      </w:r>
      <w:r>
        <w:rPr>
          <w:rFonts w:hint="eastAsia" w:ascii="黑体" w:hAnsi="黑体" w:eastAsia="黑体"/>
        </w:rPr>
        <w:t>见投标人须知专用部分</w:t>
      </w:r>
      <w:r>
        <w:rPr>
          <w:rFonts w:hint="eastAsia" w:ascii="宋体" w:hAnsi="宋体"/>
        </w:rPr>
        <w:t>。</w:t>
      </w:r>
    </w:p>
    <w:p>
      <w:pPr>
        <w:spacing w:line="360" w:lineRule="auto"/>
        <w:ind w:firstLine="420" w:firstLineChars="200"/>
        <w:outlineLvl w:val="3"/>
        <w:rPr>
          <w:rFonts w:ascii="宋体"/>
        </w:rPr>
      </w:pPr>
      <w:r>
        <w:rPr>
          <w:rFonts w:ascii="宋体" w:hAnsi="宋体"/>
        </w:rPr>
        <w:t xml:space="preserve">3.7.6  </w:t>
      </w:r>
      <w:r>
        <w:rPr>
          <w:rFonts w:hint="eastAsia" w:ascii="宋体" w:hAnsi="宋体"/>
        </w:rPr>
        <w:t>采用工程量清单作为计量计价依据时，投标文件中应当采用工程量清单数据</w:t>
      </w:r>
      <w:r>
        <w:rPr>
          <w:rFonts w:ascii="宋体" w:hAnsi="宋体"/>
        </w:rPr>
        <w:t>XML</w:t>
      </w:r>
      <w:r>
        <w:rPr>
          <w:rFonts w:hint="eastAsia" w:ascii="宋体" w:hAnsi="宋体"/>
        </w:rPr>
        <w:t>文件导入。</w:t>
      </w:r>
    </w:p>
    <w:p>
      <w:pPr>
        <w:spacing w:line="360" w:lineRule="auto"/>
        <w:ind w:firstLine="420" w:firstLineChars="200"/>
        <w:outlineLvl w:val="3"/>
        <w:rPr>
          <w:rFonts w:ascii="宋体" w:hAnsi="宋体"/>
        </w:rPr>
      </w:pPr>
      <w:r>
        <w:rPr>
          <w:rFonts w:ascii="宋体" w:hAnsi="宋体"/>
        </w:rPr>
        <w:t xml:space="preserve">3.7.7  </w:t>
      </w:r>
      <w:bookmarkStart w:id="535" w:name="_Hlk117235625"/>
      <w:r>
        <w:rPr>
          <w:rFonts w:hint="eastAsia" w:ascii="宋体" w:hAnsi="宋体"/>
        </w:rPr>
        <w:t>基本信息采集及证明材料要求</w:t>
      </w:r>
      <w:bookmarkEnd w:id="535"/>
      <w:r>
        <w:rPr>
          <w:rFonts w:hint="eastAsia" w:ascii="黑体" w:hAnsi="黑体" w:eastAsia="黑体" w:cs="Arial"/>
          <w:szCs w:val="21"/>
        </w:rPr>
        <w:t>见</w:t>
      </w:r>
      <w:r>
        <w:rPr>
          <w:rFonts w:hint="eastAsia" w:ascii="黑体" w:hAnsi="黑体" w:eastAsia="黑体"/>
        </w:rPr>
        <w:t>投标人须知专用部分。</w:t>
      </w:r>
    </w:p>
    <w:p>
      <w:pPr>
        <w:spacing w:line="360" w:lineRule="auto"/>
        <w:ind w:firstLine="420" w:firstLineChars="200"/>
        <w:outlineLvl w:val="3"/>
        <w:rPr>
          <w:rFonts w:ascii="宋体"/>
        </w:rPr>
      </w:pPr>
      <w:r>
        <w:rPr>
          <w:rFonts w:ascii="宋体" w:hAnsi="宋体"/>
        </w:rPr>
        <w:t xml:space="preserve">3.7.8  </w:t>
      </w:r>
      <w:r>
        <w:rPr>
          <w:rFonts w:hint="eastAsia" w:ascii="宋体" w:hAnsi="宋体"/>
        </w:rPr>
        <w:t>其他要求</w:t>
      </w:r>
      <w:r>
        <w:rPr>
          <w:rFonts w:hint="eastAsia" w:ascii="黑体" w:hAnsi="黑体" w:eastAsia="黑体" w:cs="Arial"/>
          <w:szCs w:val="21"/>
        </w:rPr>
        <w:t>见</w:t>
      </w:r>
      <w:r>
        <w:rPr>
          <w:rFonts w:hint="eastAsia" w:ascii="黑体" w:hAnsi="黑体" w:eastAsia="黑体"/>
        </w:rPr>
        <w:t>投标人须知专用部分。</w:t>
      </w:r>
    </w:p>
    <w:p>
      <w:pPr>
        <w:pStyle w:val="144"/>
        <w:spacing w:before="120" w:after="120"/>
      </w:pPr>
      <w:bookmarkStart w:id="536" w:name="_Toc338943726"/>
      <w:bookmarkStart w:id="537" w:name="_Toc333600709"/>
      <w:bookmarkStart w:id="538" w:name="_Toc429569126"/>
      <w:bookmarkStart w:id="539" w:name="_Toc349730867"/>
      <w:bookmarkStart w:id="540" w:name="_Toc490222432"/>
      <w:bookmarkStart w:id="541" w:name="_Toc152042331"/>
      <w:bookmarkStart w:id="542" w:name="_Toc482197536"/>
      <w:bookmarkStart w:id="543" w:name="_Toc152045555"/>
      <w:bookmarkStart w:id="544" w:name="_Toc117350353"/>
      <w:bookmarkStart w:id="545" w:name="_Toc342294740"/>
      <w:bookmarkStart w:id="546" w:name="_Toc144974523"/>
      <w:bookmarkStart w:id="547" w:name="_Toc333599685"/>
      <w:bookmarkStart w:id="548" w:name="_Toc338944631"/>
      <w:bookmarkStart w:id="549" w:name="_Toc489279799"/>
      <w:bookmarkStart w:id="550" w:name="_Toc179632573"/>
      <w:bookmarkStart w:id="551" w:name="_Toc342296188"/>
      <w:bookmarkStart w:id="552" w:name="_Toc486579986"/>
      <w:r>
        <w:t>4.</w:t>
      </w:r>
      <w:r>
        <w:rPr>
          <w:rFonts w:hint="eastAsia"/>
        </w:rPr>
        <w:t>投标</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pPr>
        <w:pStyle w:val="155"/>
        <w:spacing w:before="120" w:after="120"/>
      </w:pPr>
      <w:bookmarkStart w:id="553" w:name="_Toc152042332"/>
      <w:bookmarkStart w:id="554" w:name="_Toc152045556"/>
      <w:bookmarkStart w:id="555" w:name="_Toc144974524"/>
      <w:bookmarkStart w:id="556" w:name="_Toc179632574"/>
      <w:bookmarkStart w:id="557" w:name="_Toc333587880"/>
      <w:bookmarkStart w:id="558" w:name="_Toc333599686"/>
      <w:bookmarkStart w:id="559" w:name="_Toc333600710"/>
      <w:bookmarkStart w:id="560" w:name="_Toc338943727"/>
      <w:bookmarkStart w:id="561" w:name="_Toc342294741"/>
      <w:bookmarkStart w:id="562" w:name="_Toc429569127"/>
      <w:bookmarkStart w:id="563" w:name="_Toc349730868"/>
      <w:bookmarkStart w:id="564" w:name="_Toc342296189"/>
      <w:bookmarkStart w:id="565" w:name="_Toc338944632"/>
      <w:bookmarkStart w:id="566" w:name="_Toc117350354"/>
      <w:bookmarkStart w:id="567" w:name="_Toc490222433"/>
      <w:bookmarkStart w:id="568" w:name="_Toc489279800"/>
      <w:bookmarkStart w:id="569" w:name="_Toc486579987"/>
      <w:bookmarkStart w:id="570" w:name="_Toc482197537"/>
      <w:r>
        <w:t xml:space="preserve">4.1  </w:t>
      </w:r>
      <w:r>
        <w:rPr>
          <w:rFonts w:hint="eastAsia"/>
        </w:rPr>
        <w:t>投标文件的密封和</w:t>
      </w:r>
      <w:bookmarkEnd w:id="553"/>
      <w:bookmarkEnd w:id="554"/>
      <w:bookmarkEnd w:id="555"/>
      <w:bookmarkEnd w:id="556"/>
      <w:bookmarkEnd w:id="557"/>
      <w:bookmarkEnd w:id="558"/>
      <w:bookmarkEnd w:id="559"/>
      <w:r>
        <w:rPr>
          <w:rFonts w:hint="eastAsia"/>
        </w:rPr>
        <w:t>标识</w:t>
      </w:r>
      <w:bookmarkEnd w:id="560"/>
      <w:bookmarkEnd w:id="561"/>
      <w:bookmarkEnd w:id="562"/>
      <w:bookmarkEnd w:id="563"/>
      <w:bookmarkEnd w:id="564"/>
      <w:bookmarkEnd w:id="565"/>
      <w:r>
        <w:rPr>
          <w:rFonts w:hint="eastAsia"/>
          <w:szCs w:val="21"/>
        </w:rPr>
        <w:t>（适用于网络递交方式）</w:t>
      </w:r>
      <w:bookmarkEnd w:id="566"/>
      <w:bookmarkEnd w:id="567"/>
      <w:bookmarkEnd w:id="568"/>
      <w:bookmarkEnd w:id="569"/>
      <w:bookmarkEnd w:id="570"/>
    </w:p>
    <w:p>
      <w:pPr>
        <w:spacing w:line="360" w:lineRule="auto"/>
        <w:ind w:firstLine="420" w:firstLineChars="200"/>
        <w:rPr>
          <w:rFonts w:ascii="宋体" w:cs="Arial"/>
          <w:iCs/>
          <w:szCs w:val="28"/>
        </w:rPr>
      </w:pPr>
      <w:r>
        <w:rPr>
          <w:rFonts w:hint="eastAsia" w:ascii="宋体" w:hAnsi="宋体" w:cs="Arial"/>
          <w:iCs/>
          <w:szCs w:val="28"/>
        </w:rPr>
        <w:t>投标文件递交前，投标人应当使用电子化平台认可的CA</w:t>
      </w:r>
      <w:bookmarkStart w:id="571" w:name="_Hlk114646700"/>
      <w:r>
        <w:rPr>
          <w:rFonts w:hint="eastAsia" w:ascii="宋体" w:hAnsi="宋体"/>
          <w:szCs w:val="21"/>
        </w:rPr>
        <w:t>电子</w:t>
      </w:r>
      <w:r>
        <w:rPr>
          <w:rFonts w:hint="eastAsia" w:ascii="宋体" w:hAnsi="宋体"/>
        </w:rPr>
        <w:t>印章</w:t>
      </w:r>
      <w:bookmarkEnd w:id="571"/>
      <w:r>
        <w:rPr>
          <w:rFonts w:hint="eastAsia" w:ascii="宋体" w:hAnsi="宋体" w:cs="Arial"/>
          <w:iCs/>
          <w:szCs w:val="28"/>
        </w:rPr>
        <w:t>对其投标文件进行加密。</w:t>
      </w:r>
    </w:p>
    <w:p>
      <w:pPr>
        <w:pStyle w:val="155"/>
        <w:spacing w:before="120" w:after="120"/>
      </w:pPr>
      <w:bookmarkStart w:id="572" w:name="_Toc429569128"/>
      <w:bookmarkStart w:id="573" w:name="_Toc144974525"/>
      <w:bookmarkStart w:id="574" w:name="_Toc338943728"/>
      <w:bookmarkStart w:id="575" w:name="_Toc333600711"/>
      <w:bookmarkStart w:id="576" w:name="_Toc333587881"/>
      <w:bookmarkStart w:id="577" w:name="_Toc338944633"/>
      <w:bookmarkStart w:id="578" w:name="_Toc349730869"/>
      <w:bookmarkStart w:id="579" w:name="_Toc333599687"/>
      <w:bookmarkStart w:id="580" w:name="_Toc342294742"/>
      <w:bookmarkStart w:id="581" w:name="_Toc179632575"/>
      <w:bookmarkStart w:id="582" w:name="_Toc342296190"/>
      <w:bookmarkStart w:id="583" w:name="_Toc152042333"/>
      <w:bookmarkStart w:id="584" w:name="_Toc152045557"/>
      <w:bookmarkStart w:id="585" w:name="_Toc490222435"/>
      <w:bookmarkStart w:id="586" w:name="_Toc482197539"/>
      <w:bookmarkStart w:id="587" w:name="_Toc117350355"/>
      <w:bookmarkStart w:id="588" w:name="_Toc489279802"/>
      <w:bookmarkStart w:id="589" w:name="_Toc486579989"/>
      <w:r>
        <w:t xml:space="preserve">4.2  </w:t>
      </w:r>
      <w:r>
        <w:rPr>
          <w:rFonts w:hint="eastAsia"/>
        </w:rPr>
        <w:t>投标文件的递交</w:t>
      </w:r>
      <w:bookmarkEnd w:id="572"/>
      <w:bookmarkEnd w:id="573"/>
      <w:bookmarkEnd w:id="574"/>
      <w:bookmarkEnd w:id="575"/>
      <w:bookmarkEnd w:id="576"/>
      <w:bookmarkEnd w:id="577"/>
      <w:bookmarkEnd w:id="578"/>
      <w:bookmarkEnd w:id="579"/>
      <w:bookmarkEnd w:id="580"/>
      <w:bookmarkEnd w:id="581"/>
      <w:bookmarkEnd w:id="582"/>
      <w:bookmarkEnd w:id="583"/>
      <w:bookmarkEnd w:id="584"/>
      <w:r>
        <w:rPr>
          <w:rFonts w:hint="eastAsia"/>
          <w:szCs w:val="21"/>
        </w:rPr>
        <w:t>（适用于网络递交方式）</w:t>
      </w:r>
      <w:bookmarkEnd w:id="585"/>
      <w:bookmarkEnd w:id="586"/>
      <w:bookmarkEnd w:id="587"/>
      <w:bookmarkEnd w:id="588"/>
      <w:bookmarkEnd w:id="589"/>
    </w:p>
    <w:p>
      <w:pPr>
        <w:spacing w:line="360" w:lineRule="auto"/>
        <w:ind w:firstLine="420" w:firstLineChars="200"/>
        <w:rPr>
          <w:rFonts w:ascii="宋体"/>
        </w:rPr>
      </w:pPr>
      <w:r>
        <w:rPr>
          <w:rFonts w:ascii="宋体" w:hAnsi="宋体"/>
        </w:rPr>
        <w:t xml:space="preserve">4.2.1  </w:t>
      </w:r>
      <w:r>
        <w:rPr>
          <w:rFonts w:hint="eastAsia" w:ascii="宋体" w:hAnsi="宋体"/>
        </w:rPr>
        <w:t>投标人应当在招标文件规定的投标文件递交截止时间前，通过因特网或交易中心大厅局域网将经加密的投标文件上传至电子化平台，电子化平台在成功接收投标文件之后提供回执。</w:t>
      </w:r>
    </w:p>
    <w:p>
      <w:pPr>
        <w:spacing w:line="360" w:lineRule="auto"/>
        <w:ind w:firstLine="420" w:firstLineChars="200"/>
        <w:rPr>
          <w:rFonts w:ascii="宋体"/>
          <w:szCs w:val="21"/>
        </w:rPr>
      </w:pPr>
      <w:r>
        <w:rPr>
          <w:rFonts w:ascii="宋体" w:hAnsi="宋体"/>
        </w:rPr>
        <w:t xml:space="preserve">4.2.2  </w:t>
      </w:r>
      <w:r>
        <w:rPr>
          <w:rFonts w:hint="eastAsia" w:ascii="宋体" w:hAnsi="宋体"/>
        </w:rPr>
        <w:t>投标文件</w:t>
      </w:r>
      <w:r>
        <w:rPr>
          <w:rFonts w:hint="eastAsia"/>
          <w:szCs w:val="21"/>
        </w:rPr>
        <w:t>上传成功后平台自动生成的回执时间即为递交成功时间，投标人应保留回执。</w:t>
      </w:r>
    </w:p>
    <w:p>
      <w:pPr>
        <w:spacing w:line="360" w:lineRule="auto"/>
        <w:ind w:firstLine="420" w:firstLineChars="200"/>
        <w:rPr>
          <w:rFonts w:ascii="宋体"/>
        </w:rPr>
      </w:pPr>
      <w:r>
        <w:rPr>
          <w:rFonts w:ascii="宋体" w:hAnsi="宋体"/>
        </w:rPr>
        <w:t xml:space="preserve">4.2.3  </w:t>
      </w:r>
      <w:r>
        <w:rPr>
          <w:rFonts w:hint="eastAsia" w:ascii="宋体" w:hAnsi="宋体"/>
        </w:rPr>
        <w:t>投标人或其投标文件存在下列情形之一的，招标人对其投标文件不予接收：</w:t>
      </w:r>
      <w:r>
        <w:rPr>
          <w:rFonts w:ascii="宋体" w:hAnsi="宋体"/>
          <w:szCs w:val="21"/>
        </w:rPr>
        <w:t xml:space="preserve"> </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）未按照招标文件规定的递交方式递交的；</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w:t>
      </w:r>
      <w:r>
        <w:rPr>
          <w:rFonts w:hint="eastAsia" w:ascii="宋体" w:hAnsi="宋体"/>
          <w:szCs w:val="21"/>
        </w:rPr>
        <w:t>电子化平台中无投标文件，且不能出示成功递交回执的</w:t>
      </w:r>
      <w:r>
        <w:rPr>
          <w:rFonts w:hint="eastAsia" w:ascii="宋体" w:hAnsi="宋体"/>
        </w:rPr>
        <w:t>；</w:t>
      </w:r>
      <w:r>
        <w:rPr>
          <w:rFonts w:ascii="宋体" w:hAnsi="宋体"/>
        </w:rPr>
        <w:t xml:space="preserve"> </w:t>
      </w:r>
    </w:p>
    <w:p>
      <w:pPr>
        <w:spacing w:line="360" w:lineRule="auto"/>
        <w:ind w:firstLine="420" w:firstLineChars="200"/>
        <w:rPr>
          <w:rFonts w:ascii="宋体"/>
        </w:rPr>
      </w:pPr>
      <w:r>
        <w:rPr>
          <w:rFonts w:hint="eastAsia" w:ascii="宋体" w:hAnsi="宋体"/>
        </w:rPr>
        <w:t>（</w:t>
      </w:r>
      <w:r>
        <w:rPr>
          <w:rFonts w:ascii="宋体" w:hAnsi="宋体"/>
        </w:rPr>
        <w:t>3</w:t>
      </w:r>
      <w:r>
        <w:rPr>
          <w:rFonts w:hint="eastAsia" w:ascii="宋体" w:hAnsi="宋体"/>
        </w:rPr>
        <w:t>）</w:t>
      </w:r>
      <w:r>
        <w:rPr>
          <w:rFonts w:hint="eastAsia" w:ascii="宋体" w:hAnsi="宋体"/>
          <w:szCs w:val="21"/>
        </w:rPr>
        <w:t>回执载明的传输完成时间超出招标文件规定投标文件递交截止时间的</w:t>
      </w:r>
      <w:r>
        <w:rPr>
          <w:rFonts w:hint="eastAsia" w:ascii="宋体" w:hAnsi="宋体"/>
        </w:rPr>
        <w:t>；</w:t>
      </w:r>
      <w:r>
        <w:rPr>
          <w:rFonts w:ascii="宋体" w:hAnsi="宋体"/>
        </w:rPr>
        <w:t xml:space="preserve"> </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）投标人未按照招标公告规定的期限和方式获取招标文件；</w:t>
      </w:r>
    </w:p>
    <w:p>
      <w:pPr>
        <w:spacing w:line="360" w:lineRule="auto"/>
        <w:ind w:firstLine="420" w:firstLineChars="200"/>
        <w:rPr>
          <w:rFonts w:ascii="宋体"/>
        </w:rPr>
      </w:pPr>
      <w:r>
        <w:rPr>
          <w:rFonts w:hint="eastAsia" w:ascii="宋体" w:hAnsi="宋体"/>
        </w:rPr>
        <w:t>（</w:t>
      </w:r>
      <w:r>
        <w:rPr>
          <w:rFonts w:ascii="宋体" w:hAnsi="宋体"/>
        </w:rPr>
        <w:t>5</w:t>
      </w:r>
      <w:r>
        <w:rPr>
          <w:rFonts w:hint="eastAsia" w:ascii="宋体" w:hAnsi="宋体"/>
        </w:rPr>
        <w:t>）因投标人原因，电子化平台无法正常打开投标文件的；</w:t>
      </w:r>
    </w:p>
    <w:p>
      <w:pPr>
        <w:spacing w:line="360" w:lineRule="auto"/>
        <w:ind w:firstLine="420" w:firstLineChars="200"/>
        <w:rPr>
          <w:rFonts w:ascii="宋体"/>
        </w:rPr>
      </w:pPr>
      <w:r>
        <w:rPr>
          <w:rFonts w:hint="eastAsia" w:ascii="宋体" w:hAnsi="宋体"/>
        </w:rPr>
        <w:t>（</w:t>
      </w:r>
      <w:r>
        <w:rPr>
          <w:rFonts w:ascii="宋体" w:hAnsi="宋体"/>
        </w:rPr>
        <w:t>6</w:t>
      </w:r>
      <w:r>
        <w:rPr>
          <w:rFonts w:hint="eastAsia" w:ascii="宋体" w:hAnsi="宋体"/>
        </w:rPr>
        <w:t>）其他情形</w:t>
      </w:r>
      <w:r>
        <w:rPr>
          <w:rFonts w:hint="eastAsia" w:ascii="黑体" w:hAnsi="黑体" w:eastAsia="黑体"/>
        </w:rPr>
        <w:t>见投标人须知专用部分</w:t>
      </w:r>
      <w:r>
        <w:rPr>
          <w:rFonts w:hint="eastAsia" w:ascii="宋体" w:hAnsi="宋体"/>
        </w:rPr>
        <w:t>。</w:t>
      </w:r>
    </w:p>
    <w:p>
      <w:pPr>
        <w:pStyle w:val="155"/>
        <w:spacing w:before="120" w:after="120"/>
      </w:pPr>
      <w:bookmarkStart w:id="590" w:name="_Toc333587882"/>
      <w:bookmarkStart w:id="591" w:name="_Toc342294743"/>
      <w:bookmarkStart w:id="592" w:name="_Toc152045558"/>
      <w:bookmarkStart w:id="593" w:name="_Toc338944634"/>
      <w:bookmarkStart w:id="594" w:name="_Toc349730870"/>
      <w:bookmarkStart w:id="595" w:name="_Toc338943729"/>
      <w:bookmarkStart w:id="596" w:name="_Toc152042334"/>
      <w:bookmarkStart w:id="597" w:name="_Toc429569129"/>
      <w:bookmarkStart w:id="598" w:name="_Toc342296191"/>
      <w:bookmarkStart w:id="599" w:name="_Toc179632576"/>
      <w:bookmarkStart w:id="600" w:name="_Toc333599688"/>
      <w:bookmarkStart w:id="601" w:name="_Toc144974526"/>
      <w:bookmarkStart w:id="602" w:name="_Toc333600712"/>
      <w:bookmarkStart w:id="603" w:name="_Toc117350356"/>
      <w:bookmarkStart w:id="604" w:name="_Toc482197541"/>
      <w:bookmarkStart w:id="605" w:name="_Toc490222437"/>
      <w:bookmarkStart w:id="606" w:name="_Toc489279804"/>
      <w:bookmarkStart w:id="607" w:name="_Toc486579991"/>
      <w:r>
        <w:t xml:space="preserve">4.3  </w:t>
      </w:r>
      <w:r>
        <w:rPr>
          <w:rFonts w:hint="eastAsia"/>
        </w:rPr>
        <w:t>投标文件的修改与撤回</w:t>
      </w:r>
      <w:bookmarkEnd w:id="590"/>
      <w:bookmarkEnd w:id="591"/>
      <w:bookmarkEnd w:id="592"/>
      <w:bookmarkEnd w:id="593"/>
      <w:bookmarkEnd w:id="594"/>
      <w:bookmarkEnd w:id="595"/>
      <w:bookmarkEnd w:id="596"/>
      <w:bookmarkEnd w:id="597"/>
      <w:bookmarkEnd w:id="598"/>
      <w:bookmarkEnd w:id="599"/>
      <w:bookmarkEnd w:id="600"/>
      <w:bookmarkEnd w:id="601"/>
      <w:bookmarkEnd w:id="602"/>
      <w:r>
        <w:rPr>
          <w:rFonts w:hint="eastAsia"/>
          <w:szCs w:val="21"/>
        </w:rPr>
        <w:t>（适用于网络递交方式）</w:t>
      </w:r>
      <w:bookmarkEnd w:id="603"/>
      <w:bookmarkEnd w:id="604"/>
      <w:bookmarkEnd w:id="605"/>
      <w:bookmarkEnd w:id="606"/>
      <w:bookmarkEnd w:id="607"/>
    </w:p>
    <w:p>
      <w:pPr>
        <w:spacing w:line="360" w:lineRule="auto"/>
        <w:ind w:firstLine="420" w:firstLineChars="200"/>
        <w:rPr>
          <w:rFonts w:ascii="宋体"/>
        </w:rPr>
      </w:pPr>
      <w:r>
        <w:rPr>
          <w:rFonts w:ascii="宋体" w:hAnsi="宋体"/>
        </w:rPr>
        <w:t xml:space="preserve">4.3.1  </w:t>
      </w:r>
      <w:r>
        <w:rPr>
          <w:rFonts w:hint="eastAsia" w:ascii="宋体" w:hAnsi="宋体"/>
        </w:rPr>
        <w:t>在本章第</w:t>
      </w:r>
      <w:r>
        <w:rPr>
          <w:rFonts w:ascii="宋体" w:hAnsi="宋体"/>
        </w:rPr>
        <w:t>2.2.2</w:t>
      </w:r>
      <w:r>
        <w:rPr>
          <w:rFonts w:hint="eastAsia" w:ascii="宋体" w:hAnsi="宋体"/>
        </w:rPr>
        <w:t>项规定的投标截止时间前，投标人可以撤回已经提交的投标文件，电子化平台将记录撤回操作。</w:t>
      </w:r>
    </w:p>
    <w:p>
      <w:pPr>
        <w:spacing w:line="360" w:lineRule="auto"/>
        <w:ind w:firstLine="424" w:firstLineChars="202"/>
        <w:rPr>
          <w:rFonts w:ascii="宋体"/>
          <w:szCs w:val="21"/>
        </w:rPr>
      </w:pPr>
      <w:r>
        <w:rPr>
          <w:rFonts w:ascii="宋体" w:hAnsi="宋体"/>
        </w:rPr>
        <w:t xml:space="preserve">4.3.2  </w:t>
      </w:r>
      <w:r>
        <w:rPr>
          <w:rFonts w:hint="eastAsia" w:ascii="宋体" w:hAnsi="宋体"/>
        </w:rPr>
        <w:t>在本章第</w:t>
      </w:r>
      <w:r>
        <w:rPr>
          <w:rFonts w:ascii="宋体" w:hAnsi="宋体"/>
        </w:rPr>
        <w:t>2.2.2</w:t>
      </w:r>
      <w:r>
        <w:rPr>
          <w:rFonts w:hint="eastAsia" w:ascii="宋体" w:hAnsi="宋体"/>
        </w:rPr>
        <w:t>项规定的投标文件递交截止时间前，投标人对已经成功递交的投标文件进行修改、补充的，投标人应当使用“电子标书制作工具”制作成完整的投标文件，并上传电子化平台。电子化平台提供回执。投标文件以在招标文件规定的投标文件递交截止时间前，最后上传成功的为准。</w:t>
      </w:r>
    </w:p>
    <w:p>
      <w:pPr>
        <w:pStyle w:val="144"/>
        <w:spacing w:before="120" w:after="120"/>
      </w:pPr>
      <w:bookmarkStart w:id="608" w:name="_Toc117350357"/>
      <w:bookmarkStart w:id="609" w:name="_Toc349730871"/>
      <w:bookmarkStart w:id="610" w:name="_Toc342294744"/>
      <w:bookmarkStart w:id="611" w:name="_Toc333599689"/>
      <w:bookmarkStart w:id="612" w:name="_Toc486579993"/>
      <w:bookmarkStart w:id="613" w:name="_Toc333600713"/>
      <w:bookmarkStart w:id="614" w:name="_Toc338943730"/>
      <w:bookmarkStart w:id="615" w:name="_Toc144974527"/>
      <w:bookmarkStart w:id="616" w:name="_Toc152042335"/>
      <w:bookmarkStart w:id="617" w:name="_Toc482197543"/>
      <w:bookmarkStart w:id="618" w:name="_Toc342296192"/>
      <w:bookmarkStart w:id="619" w:name="_Toc152045559"/>
      <w:bookmarkStart w:id="620" w:name="_Toc489279806"/>
      <w:bookmarkStart w:id="621" w:name="_Toc179632577"/>
      <w:bookmarkStart w:id="622" w:name="_Toc490222439"/>
      <w:bookmarkStart w:id="623" w:name="_Toc429569130"/>
      <w:bookmarkStart w:id="624" w:name="_Toc338944635"/>
      <w:r>
        <w:t>5.</w:t>
      </w:r>
      <w:r>
        <w:rPr>
          <w:rFonts w:hint="eastAsia"/>
        </w:rPr>
        <w:t>开标</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pPr>
        <w:pStyle w:val="155"/>
        <w:spacing w:before="120" w:after="120"/>
      </w:pPr>
      <w:bookmarkStart w:id="625" w:name="_Toc490222440"/>
      <w:bookmarkStart w:id="626" w:name="_Toc349730872"/>
      <w:bookmarkStart w:id="627" w:name="_Toc152042336"/>
      <w:bookmarkStart w:id="628" w:name="_Toc338944636"/>
      <w:bookmarkStart w:id="629" w:name="_Toc482197544"/>
      <w:bookmarkStart w:id="630" w:name="_Toc342294745"/>
      <w:bookmarkStart w:id="631" w:name="_Toc489279807"/>
      <w:bookmarkStart w:id="632" w:name="_Toc333599690"/>
      <w:bookmarkStart w:id="633" w:name="_Toc152045560"/>
      <w:bookmarkStart w:id="634" w:name="_Toc486579994"/>
      <w:bookmarkStart w:id="635" w:name="_Toc179632578"/>
      <w:bookmarkStart w:id="636" w:name="_Toc429569131"/>
      <w:bookmarkStart w:id="637" w:name="_Toc333587884"/>
      <w:bookmarkStart w:id="638" w:name="_Toc333600714"/>
      <w:bookmarkStart w:id="639" w:name="_Toc338943731"/>
      <w:bookmarkStart w:id="640" w:name="_Toc342296193"/>
      <w:bookmarkStart w:id="641" w:name="_Toc144974528"/>
      <w:bookmarkStart w:id="642" w:name="_Toc117350358"/>
      <w:r>
        <w:t xml:space="preserve">5.1  </w:t>
      </w:r>
      <w:r>
        <w:rPr>
          <w:rFonts w:hint="eastAsia"/>
        </w:rPr>
        <w:t>开标时间和地点</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Start w:id="643" w:name="_Hlk102657004"/>
      <w:r>
        <w:rPr>
          <w:rFonts w:hint="eastAsia"/>
        </w:rPr>
        <w:t>（适用于现场开标）</w:t>
      </w:r>
      <w:bookmarkEnd w:id="642"/>
      <w:bookmarkEnd w:id="643"/>
    </w:p>
    <w:p>
      <w:pPr>
        <w:spacing w:line="360" w:lineRule="auto"/>
        <w:ind w:firstLine="420" w:firstLineChars="200"/>
        <w:rPr>
          <w:rFonts w:ascii="宋体" w:hAnsi="宋体"/>
        </w:rPr>
      </w:pPr>
      <w:r>
        <w:rPr>
          <w:rFonts w:hint="eastAsia" w:ascii="宋体" w:hAnsi="宋体"/>
        </w:rPr>
        <w:t>招标人在规定的地点公开开标，并</w:t>
      </w:r>
      <w:bookmarkStart w:id="644" w:name="_Hlk102652394"/>
      <w:r>
        <w:rPr>
          <w:rFonts w:hint="eastAsia" w:ascii="宋体" w:hAnsi="宋体"/>
        </w:rPr>
        <w:t>邀请所有投标人的法定代表人或其</w:t>
      </w:r>
      <w:r>
        <w:rPr>
          <w:rFonts w:hint="eastAsia" w:ascii="宋体" w:hAnsi="宋体" w:cs="Arial"/>
          <w:szCs w:val="21"/>
        </w:rPr>
        <w:t>委托代理人</w:t>
      </w:r>
      <w:r>
        <w:rPr>
          <w:rFonts w:hint="eastAsia" w:ascii="宋体" w:hAnsi="宋体"/>
        </w:rPr>
        <w:t>准时参加。开标时间为本章第</w:t>
      </w:r>
      <w:r>
        <w:rPr>
          <w:rFonts w:ascii="宋体" w:hAnsi="宋体"/>
        </w:rPr>
        <w:t>2.2.2</w:t>
      </w:r>
      <w:r>
        <w:rPr>
          <w:rFonts w:hint="eastAsia" w:ascii="宋体" w:hAnsi="宋体"/>
        </w:rPr>
        <w:t>项规定的投标截止时间的同一时间，开标的地点</w:t>
      </w:r>
      <w:r>
        <w:rPr>
          <w:rFonts w:hint="eastAsia" w:ascii="黑体" w:hAnsi="黑体" w:eastAsia="黑体"/>
        </w:rPr>
        <w:t>见投标人须知专用部分</w:t>
      </w:r>
      <w:r>
        <w:rPr>
          <w:rFonts w:hint="eastAsia" w:ascii="宋体" w:hAnsi="宋体"/>
        </w:rPr>
        <w:t>。</w:t>
      </w:r>
      <w:bookmarkEnd w:id="644"/>
    </w:p>
    <w:p>
      <w:pPr>
        <w:pStyle w:val="155"/>
        <w:spacing w:before="120" w:after="120"/>
      </w:pPr>
      <w:bookmarkStart w:id="645" w:name="_Toc117350359"/>
      <w:r>
        <w:t xml:space="preserve">5.1  </w:t>
      </w:r>
      <w:r>
        <w:rPr>
          <w:rFonts w:hint="eastAsia"/>
        </w:rPr>
        <w:t>开标时间和网址（适用于远程在线开标）</w:t>
      </w:r>
      <w:bookmarkEnd w:id="645"/>
    </w:p>
    <w:p>
      <w:pPr>
        <w:spacing w:line="360" w:lineRule="auto"/>
        <w:ind w:firstLine="420" w:firstLineChars="200"/>
        <w:rPr>
          <w:rFonts w:ascii="宋体"/>
        </w:rPr>
      </w:pPr>
      <w:r>
        <w:rPr>
          <w:rFonts w:hint="eastAsia" w:ascii="宋体" w:hAnsi="宋体"/>
        </w:rPr>
        <w:t>招标人在规定的开标网址远程在线开标，所有投标人应准时参加。开标时间为本章第</w:t>
      </w:r>
      <w:r>
        <w:rPr>
          <w:rFonts w:ascii="宋体" w:hAnsi="宋体"/>
        </w:rPr>
        <w:t>2.2.2</w:t>
      </w:r>
      <w:r>
        <w:rPr>
          <w:rFonts w:hint="eastAsia" w:ascii="宋体" w:hAnsi="宋体"/>
        </w:rPr>
        <w:t>项规定的投标截止时间的同一时间，远程在线开标的网址</w:t>
      </w:r>
      <w:r>
        <w:rPr>
          <w:rFonts w:hint="eastAsia" w:ascii="黑体" w:hAnsi="黑体" w:eastAsia="黑体"/>
        </w:rPr>
        <w:t>见投标人须知专用部分</w:t>
      </w:r>
      <w:r>
        <w:rPr>
          <w:rFonts w:hint="eastAsia" w:ascii="宋体" w:hAnsi="宋体"/>
        </w:rPr>
        <w:t>。</w:t>
      </w:r>
    </w:p>
    <w:p>
      <w:pPr>
        <w:pStyle w:val="155"/>
        <w:spacing w:before="120" w:after="120"/>
      </w:pPr>
      <w:bookmarkStart w:id="646" w:name="_Toc490222441"/>
      <w:bookmarkStart w:id="647" w:name="_Toc489279808"/>
      <w:bookmarkStart w:id="648" w:name="_Toc482197545"/>
      <w:bookmarkStart w:id="649" w:name="_Toc486579995"/>
      <w:bookmarkStart w:id="650" w:name="_Toc117350360"/>
      <w:r>
        <w:t xml:space="preserve">5.2  </w:t>
      </w:r>
      <w:r>
        <w:rPr>
          <w:rFonts w:hint="eastAsia"/>
        </w:rPr>
        <w:t>投标人代表出席开标会</w:t>
      </w:r>
      <w:bookmarkEnd w:id="646"/>
      <w:bookmarkEnd w:id="647"/>
      <w:bookmarkEnd w:id="648"/>
      <w:bookmarkEnd w:id="649"/>
      <w:bookmarkStart w:id="651" w:name="_Hlk102724659"/>
      <w:r>
        <w:rPr>
          <w:rFonts w:hint="eastAsia"/>
        </w:rPr>
        <w:t>（适用于现场开标）</w:t>
      </w:r>
      <w:bookmarkEnd w:id="650"/>
      <w:bookmarkEnd w:id="651"/>
    </w:p>
    <w:p>
      <w:pPr>
        <w:spacing w:line="360" w:lineRule="auto"/>
        <w:ind w:firstLine="420" w:firstLineChars="200"/>
        <w:rPr>
          <w:rFonts w:ascii="宋体"/>
        </w:rPr>
      </w:pPr>
      <w:r>
        <w:rPr>
          <w:rFonts w:hint="eastAsia" w:ascii="宋体" w:hAnsi="宋体"/>
        </w:rPr>
        <w:t>投标人法定代表人或其委托代理人应当作为投标人代表按时参加开标会，在递交投标文件截止时间前向招标人提交法定代表人身份证明文件</w:t>
      </w:r>
      <w:r>
        <w:rPr>
          <w:rFonts w:hint="eastAsia" w:ascii="宋体" w:hAnsi="宋体" w:cs="Arial"/>
          <w:szCs w:val="21"/>
        </w:rPr>
        <w:t>或法定代表人授权委托书，</w:t>
      </w:r>
      <w:r>
        <w:rPr>
          <w:rFonts w:hint="eastAsia" w:ascii="宋体" w:hAnsi="宋体"/>
        </w:rPr>
        <w:t>出示本人有效身份证明文件原件并签到。授权委托书格式要求</w:t>
      </w:r>
      <w:r>
        <w:rPr>
          <w:rFonts w:hint="eastAsia" w:ascii="黑体" w:hAnsi="黑体" w:eastAsia="黑体"/>
        </w:rPr>
        <w:t>见投标人须知专用部分附表一</w:t>
      </w:r>
      <w:r>
        <w:rPr>
          <w:rFonts w:hint="eastAsia" w:ascii="宋体" w:hAnsi="宋体"/>
        </w:rPr>
        <w:t>。</w:t>
      </w:r>
    </w:p>
    <w:p>
      <w:pPr>
        <w:spacing w:line="360" w:lineRule="auto"/>
        <w:ind w:firstLine="420" w:firstLineChars="200"/>
        <w:rPr>
          <w:rFonts w:ascii="宋体"/>
        </w:rPr>
      </w:pPr>
      <w:r>
        <w:rPr>
          <w:rFonts w:hint="eastAsia" w:ascii="宋体" w:hAnsi="宋体"/>
        </w:rPr>
        <w:t>投标人代表在开标会上对本单位的投标文件开始解密60分钟内，使用加密时的CA</w:t>
      </w:r>
      <w:r>
        <w:rPr>
          <w:rFonts w:hint="eastAsia" w:ascii="宋体" w:hAnsi="宋体"/>
          <w:szCs w:val="21"/>
        </w:rPr>
        <w:t>电子</w:t>
      </w:r>
      <w:r>
        <w:rPr>
          <w:rFonts w:hint="eastAsia" w:ascii="宋体" w:hAnsi="宋体"/>
        </w:rPr>
        <w:t>印章进行解密；但在60分钟内不能完成对其投标文件解密的，应按照本章第4.2.3款“因投标人原因，电子化平台无法正常打开的”规定，由招标人对其投标文件不予接收。</w:t>
      </w:r>
    </w:p>
    <w:p>
      <w:pPr>
        <w:spacing w:line="360" w:lineRule="auto"/>
        <w:ind w:firstLine="420" w:firstLineChars="200"/>
        <w:rPr>
          <w:rFonts w:ascii="宋体" w:hAnsi="宋体"/>
        </w:rPr>
      </w:pPr>
      <w:r>
        <w:rPr>
          <w:rFonts w:hint="eastAsia" w:ascii="宋体" w:hAnsi="宋体"/>
        </w:rPr>
        <w:t>开标结束后，投标人代表在开标会记录上签字确认。招标人使用电子化平台认可的</w:t>
      </w:r>
      <w:r>
        <w:rPr>
          <w:rFonts w:ascii="宋体" w:hAnsi="宋体"/>
        </w:rPr>
        <w:t>CA</w:t>
      </w:r>
      <w:r>
        <w:rPr>
          <w:rFonts w:hint="eastAsia" w:ascii="宋体" w:hAnsi="宋体"/>
          <w:szCs w:val="21"/>
        </w:rPr>
        <w:t>电子</w:t>
      </w:r>
      <w:r>
        <w:rPr>
          <w:rFonts w:hint="eastAsia" w:ascii="宋体" w:hAnsi="宋体"/>
        </w:rPr>
        <w:t>印章将该工程所有投标文件进行加密，加密用的</w:t>
      </w:r>
      <w:r>
        <w:rPr>
          <w:rFonts w:ascii="宋体" w:hAnsi="宋体"/>
        </w:rPr>
        <w:t>CA</w:t>
      </w:r>
      <w:r>
        <w:rPr>
          <w:rFonts w:hint="eastAsia" w:ascii="宋体" w:hAnsi="宋体"/>
          <w:szCs w:val="21"/>
        </w:rPr>
        <w:t>电子</w:t>
      </w:r>
      <w:r>
        <w:rPr>
          <w:rFonts w:hint="eastAsia" w:ascii="宋体" w:hAnsi="宋体"/>
        </w:rPr>
        <w:t>印章须由招标人妥善保管。</w:t>
      </w:r>
    </w:p>
    <w:p>
      <w:pPr>
        <w:pStyle w:val="155"/>
        <w:spacing w:before="120" w:after="120"/>
      </w:pPr>
      <w:bookmarkStart w:id="652" w:name="_Toc117350361"/>
      <w:r>
        <w:t xml:space="preserve">5.2  </w:t>
      </w:r>
      <w:bookmarkStart w:id="653" w:name="_Hlk102724640"/>
      <w:r>
        <w:rPr>
          <w:rFonts w:hint="eastAsia"/>
        </w:rPr>
        <w:t>投标人出席开标会</w:t>
      </w:r>
      <w:bookmarkStart w:id="654" w:name="_Hlk102724665"/>
      <w:r>
        <w:rPr>
          <w:rFonts w:hint="eastAsia"/>
        </w:rPr>
        <w:t>（适用于远程在线开标）</w:t>
      </w:r>
      <w:bookmarkEnd w:id="652"/>
      <w:bookmarkEnd w:id="654"/>
    </w:p>
    <w:bookmarkEnd w:id="653"/>
    <w:p>
      <w:pPr>
        <w:spacing w:line="360" w:lineRule="auto"/>
        <w:ind w:firstLine="420" w:firstLineChars="200"/>
        <w:rPr>
          <w:rFonts w:ascii="宋体" w:hAnsi="宋体"/>
        </w:rPr>
      </w:pPr>
      <w:r>
        <w:rPr>
          <w:rFonts w:hint="eastAsia" w:ascii="宋体" w:hAnsi="宋体"/>
        </w:rPr>
        <w:t>（1）投标人应在投标截止时间之前在北京工程建设交易信息网使用CA电子印章登录房建市政工程交易平台“远程开标模块”参与开标，并在开标期间保持在线状态。</w:t>
      </w:r>
    </w:p>
    <w:p>
      <w:pPr>
        <w:spacing w:line="360" w:lineRule="auto"/>
        <w:ind w:firstLine="420" w:firstLineChars="200"/>
        <w:rPr>
          <w:rFonts w:ascii="宋体" w:hAnsi="宋体"/>
        </w:rPr>
      </w:pPr>
      <w:r>
        <w:rPr>
          <w:rFonts w:hint="eastAsia" w:ascii="宋体" w:hAnsi="宋体"/>
        </w:rPr>
        <w:t>（2）在投标文件解密环节，投标人首先应在招标文件规定的时间内使用投标文件加密时使用的CA电子印章进行投标文件解密操作。同时，投标人应在招标文件规定的时间内完成文件解密。投标人未在招标文件规定的时间内进行解密操作或未在招标文件规定的时间内完成文件解密的，应按照本章第</w:t>
      </w:r>
      <w:r>
        <w:rPr>
          <w:rFonts w:ascii="宋体" w:hAnsi="宋体"/>
        </w:rPr>
        <w:t>4.2</w:t>
      </w:r>
      <w:r>
        <w:rPr>
          <w:rFonts w:hint="eastAsia" w:ascii="宋体" w:hAnsi="宋体"/>
        </w:rPr>
        <w:t>款“投标文件的递交（适用于网络递交方式）”中第4.2.3项“因投标人原因，电子化平台无法正常打开的”规定，由招标人对其投标文件不予接收。</w:t>
      </w:r>
    </w:p>
    <w:p>
      <w:pPr>
        <w:spacing w:line="360" w:lineRule="auto"/>
        <w:ind w:firstLine="420" w:firstLineChars="200"/>
        <w:rPr>
          <w:rFonts w:ascii="宋体" w:hAnsi="宋体"/>
        </w:rPr>
      </w:pPr>
      <w:r>
        <w:rPr>
          <w:rFonts w:hint="eastAsia" w:ascii="宋体" w:hAnsi="宋体"/>
        </w:rPr>
        <w:t>（3）在开标过程中，投标人应在相应的环节及时查看开标准备信息、投标人投标文件解密情况、投标函信息以及开标情况信息等。</w:t>
      </w:r>
    </w:p>
    <w:p>
      <w:pPr>
        <w:pStyle w:val="155"/>
        <w:spacing w:before="120" w:after="120"/>
      </w:pPr>
      <w:bookmarkStart w:id="655" w:name="_Toc179632579"/>
      <w:bookmarkStart w:id="656" w:name="_Toc333600715"/>
      <w:bookmarkStart w:id="657" w:name="_Toc152042337"/>
      <w:bookmarkStart w:id="658" w:name="_Toc333587885"/>
      <w:bookmarkStart w:id="659" w:name="_Toc342294746"/>
      <w:bookmarkStart w:id="660" w:name="_Toc333599691"/>
      <w:bookmarkStart w:id="661" w:name="_Toc342296194"/>
      <w:bookmarkStart w:id="662" w:name="_Toc144974529"/>
      <w:bookmarkStart w:id="663" w:name="_Toc338944637"/>
      <w:bookmarkStart w:id="664" w:name="_Toc338943732"/>
      <w:bookmarkStart w:id="665" w:name="_Toc429569132"/>
      <w:bookmarkStart w:id="666" w:name="_Toc349730873"/>
      <w:bookmarkStart w:id="667" w:name="_Toc152045561"/>
      <w:bookmarkStart w:id="668" w:name="_Toc117350362"/>
      <w:bookmarkStart w:id="669" w:name="_Toc490222442"/>
      <w:bookmarkStart w:id="670" w:name="_Toc486579996"/>
      <w:bookmarkStart w:id="671" w:name="_Toc482197546"/>
      <w:bookmarkStart w:id="672" w:name="_Toc489279809"/>
      <w:r>
        <w:t xml:space="preserve">5.3  </w:t>
      </w:r>
      <w:r>
        <w:rPr>
          <w:rFonts w:hint="eastAsia"/>
        </w:rPr>
        <w:t>开标程序</w:t>
      </w:r>
      <w:bookmarkEnd w:id="655"/>
      <w:bookmarkEnd w:id="656"/>
      <w:bookmarkEnd w:id="657"/>
      <w:bookmarkEnd w:id="658"/>
      <w:bookmarkEnd w:id="659"/>
      <w:bookmarkEnd w:id="660"/>
      <w:bookmarkEnd w:id="661"/>
      <w:bookmarkEnd w:id="662"/>
      <w:bookmarkEnd w:id="663"/>
      <w:bookmarkEnd w:id="664"/>
      <w:bookmarkEnd w:id="665"/>
      <w:bookmarkEnd w:id="666"/>
      <w:bookmarkEnd w:id="667"/>
      <w:r>
        <w:rPr>
          <w:rFonts w:hint="eastAsia"/>
          <w:szCs w:val="21"/>
        </w:rPr>
        <w:t>（适用于网络递交方式，</w:t>
      </w:r>
      <w:r>
        <w:rPr>
          <w:rFonts w:hint="eastAsia"/>
        </w:rPr>
        <w:t>现场开标</w:t>
      </w:r>
      <w:r>
        <w:rPr>
          <w:rFonts w:hint="eastAsia"/>
          <w:szCs w:val="21"/>
        </w:rPr>
        <w:t>）</w:t>
      </w:r>
      <w:bookmarkEnd w:id="668"/>
      <w:bookmarkEnd w:id="669"/>
      <w:bookmarkEnd w:id="670"/>
      <w:bookmarkEnd w:id="671"/>
      <w:bookmarkEnd w:id="672"/>
    </w:p>
    <w:p>
      <w:pPr>
        <w:spacing w:line="360" w:lineRule="auto"/>
        <w:ind w:firstLine="420" w:firstLineChars="200"/>
        <w:rPr>
          <w:rFonts w:ascii="宋体"/>
        </w:rPr>
      </w:pPr>
      <w:r>
        <w:rPr>
          <w:rFonts w:hint="eastAsia" w:ascii="宋体" w:hAnsi="宋体"/>
        </w:rPr>
        <w:t>主持人按下列程序进行开标：</w:t>
      </w:r>
    </w:p>
    <w:p>
      <w:pPr>
        <w:spacing w:line="360" w:lineRule="auto"/>
        <w:ind w:firstLine="359" w:firstLineChars="171"/>
        <w:rPr>
          <w:rFonts w:ascii="宋体"/>
        </w:rPr>
      </w:pPr>
      <w:r>
        <w:rPr>
          <w:rFonts w:hint="eastAsia" w:ascii="宋体" w:hAnsi="宋体"/>
        </w:rPr>
        <w:t>（</w:t>
      </w:r>
      <w:r>
        <w:rPr>
          <w:rFonts w:ascii="宋体" w:hAnsi="宋体"/>
        </w:rPr>
        <w:t>1</w:t>
      </w:r>
      <w:r>
        <w:rPr>
          <w:rFonts w:hint="eastAsia" w:ascii="宋体" w:hAnsi="宋体"/>
        </w:rPr>
        <w:t>）宣布开标纪律；</w:t>
      </w:r>
    </w:p>
    <w:p>
      <w:pPr>
        <w:spacing w:line="360" w:lineRule="auto"/>
        <w:ind w:firstLine="359" w:firstLineChars="171"/>
        <w:rPr>
          <w:rFonts w:ascii="宋体"/>
        </w:rPr>
      </w:pPr>
      <w:r>
        <w:rPr>
          <w:rFonts w:hint="eastAsia" w:ascii="宋体" w:hAnsi="宋体"/>
        </w:rPr>
        <w:t>（</w:t>
      </w:r>
      <w:r>
        <w:rPr>
          <w:rFonts w:ascii="宋体" w:hAnsi="宋体"/>
        </w:rPr>
        <w:t>2</w:t>
      </w:r>
      <w:r>
        <w:rPr>
          <w:rFonts w:hint="eastAsia" w:ascii="宋体" w:hAnsi="宋体"/>
        </w:rPr>
        <w:t>）公布在投标截止时间前递交投标文件的投标人名称，并点名确认投标人是否派人到场；</w:t>
      </w:r>
    </w:p>
    <w:p>
      <w:pPr>
        <w:spacing w:line="360" w:lineRule="auto"/>
        <w:ind w:firstLine="359" w:firstLineChars="171"/>
        <w:rPr>
          <w:rFonts w:ascii="宋体"/>
        </w:rPr>
      </w:pPr>
      <w:r>
        <w:rPr>
          <w:rFonts w:hint="eastAsia" w:ascii="宋体" w:hAnsi="宋体"/>
        </w:rPr>
        <w:t>（</w:t>
      </w:r>
      <w:r>
        <w:rPr>
          <w:rFonts w:ascii="宋体" w:hAnsi="宋体"/>
        </w:rPr>
        <w:t>3</w:t>
      </w:r>
      <w:r>
        <w:rPr>
          <w:rFonts w:hint="eastAsia" w:ascii="宋体" w:hAnsi="宋体"/>
        </w:rPr>
        <w:t>）宣布开标人、记录人、监标人等有关人员姓名；</w:t>
      </w:r>
    </w:p>
    <w:p>
      <w:pPr>
        <w:spacing w:line="360" w:lineRule="auto"/>
        <w:ind w:firstLine="359" w:firstLineChars="171"/>
        <w:rPr>
          <w:rFonts w:ascii="宋体" w:hAnsi="宋体" w:cs="Arial"/>
          <w:bCs/>
          <w:szCs w:val="21"/>
        </w:rPr>
      </w:pPr>
      <w:r>
        <w:rPr>
          <w:rFonts w:hint="eastAsia" w:ascii="宋体" w:hAnsi="宋体"/>
        </w:rPr>
        <w:t>（</w:t>
      </w:r>
      <w:r>
        <w:rPr>
          <w:rFonts w:ascii="宋体" w:hAnsi="宋体"/>
        </w:rPr>
        <w:t>4</w:t>
      </w:r>
      <w:r>
        <w:rPr>
          <w:rFonts w:hint="eastAsia" w:ascii="宋体" w:hAnsi="宋体"/>
        </w:rPr>
        <w:t>）</w:t>
      </w:r>
      <w:r>
        <w:rPr>
          <w:rFonts w:hint="eastAsia" w:ascii="宋体" w:hAnsi="宋体" w:cs="Arial"/>
          <w:bCs/>
          <w:szCs w:val="21"/>
        </w:rPr>
        <w:t>登陆北京市住房和城乡建设委员会官方网站，查询所有递交投标文件的投标人</w:t>
      </w:r>
      <w:r>
        <w:rPr>
          <w:rFonts w:hint="eastAsia" w:ascii="宋体" w:hAnsi="宋体"/>
          <w:szCs w:val="21"/>
        </w:rPr>
        <w:t>的</w:t>
      </w:r>
      <w:r>
        <w:rPr>
          <w:rFonts w:hint="eastAsia" w:ascii="宋体" w:hAnsi="宋体" w:cs="Arial"/>
          <w:bCs/>
          <w:szCs w:val="21"/>
        </w:rPr>
        <w:t>企业市场行为信用评价分值和（或）拟派项目经理注册建造师信用评价分值（如有），并记入开标记录表中；信用标信息采集相关注意事项见本章第</w:t>
      </w:r>
      <w:r>
        <w:rPr>
          <w:rFonts w:ascii="宋体" w:hAnsi="宋体" w:cs="Arial"/>
          <w:bCs/>
          <w:szCs w:val="21"/>
        </w:rPr>
        <w:t>5.4</w:t>
      </w:r>
      <w:r>
        <w:rPr>
          <w:rFonts w:hint="eastAsia" w:ascii="宋体" w:hAnsi="宋体" w:cs="Arial"/>
          <w:bCs/>
          <w:szCs w:val="21"/>
        </w:rPr>
        <w:t>款内容；</w:t>
      </w:r>
    </w:p>
    <w:p>
      <w:pPr>
        <w:spacing w:line="360" w:lineRule="auto"/>
        <w:ind w:firstLine="359" w:firstLineChars="171"/>
        <w:rPr>
          <w:rFonts w:ascii="宋体" w:hAnsi="宋体" w:cs="Arial"/>
          <w:bCs/>
          <w:szCs w:val="21"/>
        </w:rPr>
      </w:pPr>
      <w:bookmarkStart w:id="673" w:name="_Hlk92693725"/>
      <w:r>
        <w:rPr>
          <w:rFonts w:hint="eastAsia" w:ascii="宋体" w:hAnsi="宋体"/>
        </w:rPr>
        <w:t>（</w:t>
      </w:r>
      <w:r>
        <w:rPr>
          <w:rFonts w:ascii="宋体" w:hAnsi="宋体"/>
        </w:rPr>
        <w:t>5</w:t>
      </w:r>
      <w:r>
        <w:rPr>
          <w:rFonts w:hint="eastAsia" w:ascii="宋体" w:hAnsi="宋体"/>
        </w:rPr>
        <w:t>）</w:t>
      </w:r>
      <w:r>
        <w:rPr>
          <w:rFonts w:hint="eastAsia" w:ascii="宋体" w:hAnsi="宋体" w:cs="Arial"/>
          <w:bCs/>
          <w:szCs w:val="21"/>
        </w:rPr>
        <w:t>登陆电子化平台，查看所有递交投标文件的投标人是否被标示为施工安全风险企业，</w:t>
      </w:r>
      <w:r>
        <w:rPr>
          <w:rFonts w:hint="eastAsia" w:ascii="宋体" w:hAnsi="宋体"/>
          <w:szCs w:val="21"/>
        </w:rPr>
        <w:t>在开标记录表中记录</w:t>
      </w:r>
      <w:r>
        <w:rPr>
          <w:rFonts w:hint="eastAsia" w:ascii="宋体" w:hAnsi="宋体" w:cs="Arial"/>
          <w:bCs/>
          <w:szCs w:val="21"/>
        </w:rPr>
        <w:t>；（适用于</w:t>
      </w:r>
      <w:r>
        <w:rPr>
          <w:rFonts w:hint="eastAsia" w:ascii="宋体" w:hAnsi="宋体"/>
          <w:szCs w:val="21"/>
        </w:rPr>
        <w:t>对施工安全风险企业采取惩戒的</w:t>
      </w:r>
      <w:r>
        <w:rPr>
          <w:rFonts w:hint="eastAsia" w:ascii="宋体" w:hAnsi="宋体" w:cs="Arial"/>
          <w:bCs/>
          <w:szCs w:val="21"/>
        </w:rPr>
        <w:t>）</w:t>
      </w:r>
      <w:bookmarkEnd w:id="673"/>
    </w:p>
    <w:p>
      <w:pPr>
        <w:spacing w:line="360" w:lineRule="auto"/>
        <w:ind w:firstLine="315" w:firstLineChars="150"/>
        <w:rPr>
          <w:rFonts w:ascii="宋体"/>
        </w:rPr>
      </w:pPr>
      <w:r>
        <w:rPr>
          <w:rFonts w:hint="eastAsia" w:ascii="宋体" w:hAnsi="宋体"/>
        </w:rPr>
        <w:t>（</w:t>
      </w:r>
      <w:r>
        <w:rPr>
          <w:rFonts w:ascii="宋体" w:hAnsi="宋体"/>
        </w:rPr>
        <w:t>6</w:t>
      </w:r>
      <w:r>
        <w:rPr>
          <w:rFonts w:hint="eastAsia" w:ascii="宋体" w:hAnsi="宋体"/>
        </w:rPr>
        <w:t>）确定并宣布投标文件开标顺序，开标顺序的确定的方法</w:t>
      </w:r>
      <w:r>
        <w:rPr>
          <w:rFonts w:hint="eastAsia" w:ascii="黑体" w:hAnsi="黑体" w:eastAsia="黑体"/>
        </w:rPr>
        <w:t>见投标人须知专用部分</w:t>
      </w:r>
      <w:r>
        <w:rPr>
          <w:rFonts w:hint="eastAsia" w:ascii="宋体" w:hAnsi="宋体"/>
        </w:rPr>
        <w:t>；</w:t>
      </w:r>
    </w:p>
    <w:p>
      <w:pPr>
        <w:spacing w:line="360" w:lineRule="auto"/>
        <w:ind w:firstLine="315" w:firstLineChars="150"/>
        <w:rPr>
          <w:rFonts w:ascii="宋体"/>
        </w:rPr>
      </w:pPr>
      <w:r>
        <w:rPr>
          <w:rFonts w:hint="eastAsia" w:ascii="宋体" w:hAnsi="宋体"/>
        </w:rPr>
        <w:t>（</w:t>
      </w:r>
      <w:r>
        <w:rPr>
          <w:rFonts w:ascii="宋体" w:hAnsi="宋体"/>
          <w:szCs w:val="21"/>
        </w:rPr>
        <w:t>7</w:t>
      </w:r>
      <w:r>
        <w:rPr>
          <w:rFonts w:hint="eastAsia" w:ascii="宋体" w:hAnsi="宋体"/>
          <w:szCs w:val="21"/>
        </w:rPr>
        <w:t>）设有标底的，公布标底；</w:t>
      </w:r>
    </w:p>
    <w:p>
      <w:pPr>
        <w:spacing w:line="360" w:lineRule="auto"/>
        <w:ind w:firstLine="315" w:firstLineChars="150"/>
        <w:rPr>
          <w:rFonts w:ascii="宋体"/>
        </w:rPr>
      </w:pPr>
      <w:r>
        <w:rPr>
          <w:rFonts w:hint="eastAsia" w:ascii="宋体" w:hAnsi="宋体"/>
        </w:rPr>
        <w:t>（</w:t>
      </w:r>
      <w:r>
        <w:rPr>
          <w:rFonts w:ascii="宋体" w:hAnsi="宋体"/>
        </w:rPr>
        <w:t>8</w:t>
      </w:r>
      <w:r>
        <w:rPr>
          <w:rFonts w:hint="eastAsia" w:ascii="宋体" w:hAnsi="宋体"/>
        </w:rPr>
        <w:t>）按照宣布的开标顺序当众开标，公布投标人名称、投标保证金的递交情况、投标报价、质量标准、工期及其他内容，并记录在案；</w:t>
      </w:r>
      <w:bookmarkStart w:id="674" w:name="_Toc333599692"/>
      <w:bookmarkStart w:id="675" w:name="_Toc333600716"/>
      <w:bookmarkStart w:id="676" w:name="_Toc152045562"/>
      <w:bookmarkStart w:id="677" w:name="_Toc342296195"/>
      <w:bookmarkStart w:id="678" w:name="_Toc338943733"/>
      <w:bookmarkStart w:id="679" w:name="_Toc342294747"/>
      <w:bookmarkStart w:id="680" w:name="_Toc349730874"/>
      <w:bookmarkStart w:id="681" w:name="_Toc429569133"/>
      <w:bookmarkStart w:id="682" w:name="_Toc338944638"/>
      <w:bookmarkStart w:id="683" w:name="_Toc152042338"/>
      <w:bookmarkStart w:id="684" w:name="_Toc179632580"/>
      <w:bookmarkStart w:id="685" w:name="_Toc144974530"/>
      <w:r>
        <w:rPr>
          <w:rFonts w:hint="eastAsia" w:ascii="宋体" w:hAnsi="宋体"/>
          <w:szCs w:val="21"/>
        </w:rPr>
        <w:t>联合体投标的，应当将联合体成员单位各自所承担的合同工作量比例，在开标记录表中记录；</w:t>
      </w:r>
      <w:r>
        <w:rPr>
          <w:rFonts w:ascii="宋体" w:hAnsi="宋体"/>
        </w:rPr>
        <w:t xml:space="preserve"> </w:t>
      </w:r>
    </w:p>
    <w:p>
      <w:pPr>
        <w:spacing w:line="360" w:lineRule="auto"/>
        <w:ind w:firstLine="315" w:firstLineChars="150"/>
        <w:rPr>
          <w:rFonts w:ascii="宋体"/>
        </w:rPr>
      </w:pPr>
      <w:r>
        <w:rPr>
          <w:rFonts w:hint="eastAsia" w:ascii="宋体" w:hAnsi="宋体"/>
        </w:rPr>
        <w:t>（</w:t>
      </w:r>
      <w:r>
        <w:rPr>
          <w:rFonts w:ascii="宋体" w:hAnsi="宋体"/>
        </w:rPr>
        <w:t>9</w:t>
      </w:r>
      <w:r>
        <w:rPr>
          <w:rFonts w:hint="eastAsia" w:ascii="宋体" w:hAnsi="宋体"/>
        </w:rPr>
        <w:t>）投标人代表、招标人代表、监标人、记录人等有关人员在开标会记录上签字确认</w:t>
      </w:r>
      <w:r>
        <w:rPr>
          <w:rFonts w:hint="eastAsia" w:ascii="宋体" w:hAnsi="宋体"/>
          <w:szCs w:val="21"/>
        </w:rPr>
        <w:t>投标人代表签字确认的内容，为开标记录表中的所有内容；</w:t>
      </w:r>
    </w:p>
    <w:p>
      <w:pPr>
        <w:spacing w:line="360" w:lineRule="auto"/>
        <w:ind w:firstLine="315" w:firstLineChars="150"/>
        <w:rPr>
          <w:rFonts w:ascii="宋体"/>
        </w:rPr>
      </w:pPr>
      <w:r>
        <w:rPr>
          <w:rFonts w:hint="eastAsia" w:ascii="宋体" w:hAnsi="宋体"/>
        </w:rPr>
        <w:t>（</w:t>
      </w:r>
      <w:r>
        <w:rPr>
          <w:rFonts w:ascii="宋体" w:hAnsi="宋体"/>
        </w:rPr>
        <w:t>10</w:t>
      </w:r>
      <w:r>
        <w:rPr>
          <w:rFonts w:hint="eastAsia" w:ascii="宋体" w:hAnsi="宋体"/>
        </w:rPr>
        <w:t>）招标人使用电子化平台认可的</w:t>
      </w:r>
      <w:r>
        <w:rPr>
          <w:rFonts w:ascii="宋体" w:hAnsi="宋体"/>
        </w:rPr>
        <w:t>CA</w:t>
      </w:r>
      <w:r>
        <w:rPr>
          <w:rFonts w:hint="eastAsia" w:ascii="宋体" w:hAnsi="宋体"/>
          <w:szCs w:val="21"/>
        </w:rPr>
        <w:t>电子</w:t>
      </w:r>
      <w:r>
        <w:rPr>
          <w:rFonts w:hint="eastAsia" w:ascii="宋体" w:hAnsi="宋体"/>
        </w:rPr>
        <w:t>印章将该工程所有投标文件进行加密，加密用的</w:t>
      </w:r>
      <w:r>
        <w:rPr>
          <w:rFonts w:ascii="宋体" w:hAnsi="宋体"/>
        </w:rPr>
        <w:t>CA</w:t>
      </w:r>
      <w:r>
        <w:rPr>
          <w:rFonts w:hint="eastAsia" w:ascii="宋体" w:hAnsi="宋体"/>
          <w:szCs w:val="21"/>
        </w:rPr>
        <w:t>电子</w:t>
      </w:r>
      <w:r>
        <w:rPr>
          <w:rFonts w:hint="eastAsia" w:ascii="宋体" w:hAnsi="宋体"/>
        </w:rPr>
        <w:t>印章须由招标人妥善保管；</w:t>
      </w:r>
    </w:p>
    <w:p>
      <w:pPr>
        <w:spacing w:line="360" w:lineRule="auto"/>
        <w:ind w:firstLine="315" w:firstLineChars="150"/>
        <w:rPr>
          <w:rFonts w:ascii="宋体"/>
        </w:rPr>
      </w:pPr>
      <w:r>
        <w:rPr>
          <w:rFonts w:hint="eastAsia" w:ascii="宋体" w:hAnsi="宋体"/>
        </w:rPr>
        <w:t>（</w:t>
      </w:r>
      <w:r>
        <w:rPr>
          <w:rFonts w:ascii="宋体" w:hAnsi="宋体"/>
        </w:rPr>
        <w:t>1</w:t>
      </w:r>
      <w:r>
        <w:rPr>
          <w:rFonts w:ascii="宋体"/>
        </w:rPr>
        <w:t>1</w:t>
      </w:r>
      <w:r>
        <w:rPr>
          <w:rFonts w:hint="eastAsia" w:ascii="宋体" w:hAnsi="宋体"/>
        </w:rPr>
        <w:t>）开标结束。</w:t>
      </w:r>
    </w:p>
    <w:p>
      <w:pPr>
        <w:pStyle w:val="155"/>
        <w:spacing w:before="120" w:after="120"/>
      </w:pPr>
      <w:bookmarkStart w:id="686" w:name="_Toc117350363"/>
      <w:bookmarkStart w:id="687" w:name="_Hlk102724870"/>
      <w:r>
        <w:t xml:space="preserve">5.3  </w:t>
      </w:r>
      <w:r>
        <w:rPr>
          <w:rFonts w:hint="eastAsia"/>
        </w:rPr>
        <w:t>开标程序</w:t>
      </w:r>
      <w:r>
        <w:rPr>
          <w:rFonts w:hint="eastAsia"/>
          <w:szCs w:val="21"/>
        </w:rPr>
        <w:t>（适用于网络递交方式，</w:t>
      </w:r>
      <w:r>
        <w:rPr>
          <w:rFonts w:hint="eastAsia"/>
        </w:rPr>
        <w:t>远程在线开标</w:t>
      </w:r>
      <w:r>
        <w:rPr>
          <w:rFonts w:hint="eastAsia"/>
          <w:szCs w:val="21"/>
        </w:rPr>
        <w:t>）</w:t>
      </w:r>
      <w:bookmarkEnd w:id="686"/>
    </w:p>
    <w:bookmarkEnd w:id="687"/>
    <w:p>
      <w:pPr>
        <w:spacing w:line="360" w:lineRule="auto"/>
        <w:ind w:firstLine="315" w:firstLineChars="150"/>
        <w:rPr>
          <w:rFonts w:ascii="宋体" w:hAnsi="宋体"/>
        </w:rPr>
      </w:pPr>
      <w:r>
        <w:rPr>
          <w:rFonts w:hint="eastAsia" w:ascii="宋体" w:hAnsi="宋体"/>
        </w:rPr>
        <w:t>（1）录入开标准备信息并进行公示，开标准备信息包括：投标文件递交情况、投标保证金（如有）递交情况、所有递交投标文件的投标人的企业市场行为信用评价分值；</w:t>
      </w:r>
    </w:p>
    <w:p>
      <w:pPr>
        <w:spacing w:line="360" w:lineRule="auto"/>
        <w:ind w:firstLine="315" w:firstLineChars="150"/>
        <w:rPr>
          <w:rFonts w:ascii="宋体" w:hAnsi="宋体"/>
        </w:rPr>
      </w:pPr>
      <w:r>
        <w:rPr>
          <w:rFonts w:hint="eastAsia" w:ascii="宋体" w:hAnsi="宋体"/>
        </w:rPr>
        <w:t>（2）登陆电子化平台，查看所有递交投标文件的投标人是否被标示为施工安全风险企业，如有应记入开标记录表；</w:t>
      </w:r>
    </w:p>
    <w:p>
      <w:pPr>
        <w:spacing w:line="360" w:lineRule="auto"/>
        <w:ind w:firstLine="315" w:firstLineChars="150"/>
        <w:rPr>
          <w:rFonts w:ascii="宋体" w:hAnsi="宋体"/>
        </w:rPr>
      </w:pPr>
      <w:r>
        <w:rPr>
          <w:rFonts w:hint="eastAsia" w:ascii="宋体" w:hAnsi="宋体"/>
        </w:rPr>
        <w:t>（3）发起解密指令，投标人应在</w:t>
      </w:r>
      <w:r>
        <w:rPr>
          <w:rFonts w:ascii="宋体" w:hAnsi="宋体"/>
        </w:rPr>
        <w:t>15</w:t>
      </w:r>
      <w:r>
        <w:rPr>
          <w:rFonts w:hint="eastAsia" w:ascii="宋体" w:hAnsi="宋体"/>
        </w:rPr>
        <w:t>分钟内使用投标文件加密时的CA电子印章进行解密操作，等待解密完成；投标人应在招标人发起解密指令后180分钟内完成投标文件解密；</w:t>
      </w:r>
    </w:p>
    <w:p>
      <w:pPr>
        <w:spacing w:line="360" w:lineRule="auto"/>
        <w:ind w:firstLine="315" w:firstLineChars="150"/>
        <w:rPr>
          <w:rFonts w:ascii="宋体" w:hAnsi="宋体"/>
        </w:rPr>
      </w:pPr>
      <w:r>
        <w:rPr>
          <w:rFonts w:hint="eastAsia" w:ascii="宋体" w:hAnsi="宋体"/>
        </w:rPr>
        <w:t>（</w:t>
      </w:r>
      <w:r>
        <w:rPr>
          <w:rFonts w:ascii="宋体" w:hAnsi="宋体"/>
        </w:rPr>
        <w:t>4）解密结束；</w:t>
      </w:r>
    </w:p>
    <w:p>
      <w:pPr>
        <w:spacing w:line="360" w:lineRule="auto"/>
        <w:ind w:firstLine="315" w:firstLineChars="150"/>
        <w:rPr>
          <w:rFonts w:ascii="宋体" w:hAnsi="宋体"/>
        </w:rPr>
      </w:pPr>
      <w:r>
        <w:rPr>
          <w:rFonts w:hint="eastAsia" w:ascii="宋体" w:hAnsi="宋体"/>
        </w:rPr>
        <w:t>（</w:t>
      </w:r>
      <w:r>
        <w:rPr>
          <w:rFonts w:ascii="宋体" w:hAnsi="宋体"/>
        </w:rPr>
        <w:t>5）注册建造师（拟派项目经理）</w:t>
      </w:r>
      <w:r>
        <w:rPr>
          <w:rFonts w:hint="eastAsia" w:ascii="宋体" w:hAnsi="宋体"/>
        </w:rPr>
        <w:t>市场行为信用评价分值下载并公示（如有）；</w:t>
      </w:r>
    </w:p>
    <w:p>
      <w:pPr>
        <w:spacing w:line="360" w:lineRule="auto"/>
        <w:ind w:firstLine="315" w:firstLineChars="150"/>
        <w:rPr>
          <w:rFonts w:ascii="宋体" w:hAnsi="宋体"/>
        </w:rPr>
      </w:pPr>
      <w:r>
        <w:rPr>
          <w:rFonts w:hint="eastAsia" w:ascii="宋体" w:hAnsi="宋体"/>
        </w:rPr>
        <w:t>（6）解密结束后，公布开标情况，开标情况包括：投标人名称、投标总价、投标工期、质量标准、安全生产标准化管理目标等级、安全文明施工费、暂估价、暂列金额、企业市场行为信用评价分值、注册建造师（拟派项目经理）姓名、注册建造师（拟派项目经理）市场行为信用评价分值（如有）、招标控制价（如有）或标底（如有）以及其他情况记录，并记入开标记录表；联合体投标的，应当将联合体成员单位各自所承担的合同工作量比例，在开标记录表中记录；资格预审后，改变原联合体成员单位各自承担合同工作量比例的，应当同时记录原联合体成员单位各自承担的合同工作量比例；</w:t>
      </w:r>
    </w:p>
    <w:p>
      <w:pPr>
        <w:spacing w:line="360" w:lineRule="auto"/>
        <w:ind w:firstLine="315" w:firstLineChars="150"/>
        <w:rPr>
          <w:rFonts w:ascii="宋体" w:hAnsi="宋体"/>
        </w:rPr>
      </w:pPr>
      <w:r>
        <w:rPr>
          <w:rFonts w:hint="eastAsia" w:ascii="宋体" w:hAnsi="宋体"/>
        </w:rPr>
        <w:t>（7）发起开标结果确认，投标人应在</w:t>
      </w:r>
      <w:r>
        <w:rPr>
          <w:rFonts w:ascii="宋体" w:hAnsi="宋体"/>
        </w:rPr>
        <w:t>15</w:t>
      </w:r>
      <w:r>
        <w:rPr>
          <w:rFonts w:hint="eastAsia" w:ascii="宋体" w:hAnsi="宋体"/>
        </w:rPr>
        <w:t>分钟内对系统生成的开标记录表进行核对，核对无误的，完成确认；存在异议的，在线提出异议，超时未确认且未提出异议的，系统默认为确认开标结果；</w:t>
      </w:r>
    </w:p>
    <w:p>
      <w:pPr>
        <w:spacing w:line="360" w:lineRule="auto"/>
        <w:ind w:firstLine="315" w:firstLineChars="150"/>
        <w:rPr>
          <w:rFonts w:ascii="宋体" w:hAnsi="宋体"/>
        </w:rPr>
      </w:pPr>
      <w:r>
        <w:rPr>
          <w:rFonts w:hint="eastAsia" w:ascii="宋体" w:hAnsi="宋体"/>
        </w:rPr>
        <w:t>（8）开标结果确认完成后，招标人使用CA电子印章对所有投标文件进行加密，加密用的CA电子印章须由招标人妥善保管；</w:t>
      </w:r>
    </w:p>
    <w:p>
      <w:pPr>
        <w:spacing w:line="360" w:lineRule="auto"/>
        <w:ind w:firstLine="315" w:firstLineChars="150"/>
        <w:rPr>
          <w:rFonts w:ascii="宋体" w:hAnsi="宋体"/>
        </w:rPr>
      </w:pPr>
      <w:r>
        <w:rPr>
          <w:rFonts w:hint="eastAsia" w:ascii="宋体" w:hAnsi="宋体"/>
        </w:rPr>
        <w:t>（9）开标结束；</w:t>
      </w:r>
    </w:p>
    <w:p>
      <w:pPr>
        <w:spacing w:line="360" w:lineRule="auto"/>
        <w:ind w:firstLine="315" w:firstLineChars="150"/>
        <w:rPr>
          <w:rFonts w:ascii="宋体" w:hAnsi="宋体"/>
        </w:rPr>
      </w:pPr>
      <w:r>
        <w:rPr>
          <w:rFonts w:hint="eastAsia" w:ascii="宋体" w:hAnsi="宋体"/>
        </w:rPr>
        <w:t>（1</w:t>
      </w:r>
      <w:r>
        <w:rPr>
          <w:rFonts w:ascii="宋体" w:hAnsi="宋体"/>
        </w:rPr>
        <w:t>0</w:t>
      </w:r>
      <w:r>
        <w:rPr>
          <w:rFonts w:hint="eastAsia" w:ascii="宋体" w:hAnsi="宋体"/>
        </w:rPr>
        <w:t>）其他要求</w:t>
      </w:r>
      <w:r>
        <w:rPr>
          <w:rFonts w:hint="eastAsia" w:ascii="黑体" w:hAnsi="黑体" w:eastAsia="黑体"/>
        </w:rPr>
        <w:t>见投标人须知专用部分。</w:t>
      </w:r>
    </w:p>
    <w:p>
      <w:pPr>
        <w:pStyle w:val="155"/>
        <w:spacing w:before="120" w:after="120"/>
      </w:pPr>
      <w:bookmarkStart w:id="688" w:name="_Toc482197548"/>
      <w:bookmarkStart w:id="689" w:name="_Toc486579998"/>
      <w:bookmarkStart w:id="690" w:name="_Toc117350364"/>
      <w:bookmarkStart w:id="691" w:name="_Toc489279811"/>
      <w:bookmarkStart w:id="692" w:name="_Toc490222444"/>
      <w:r>
        <w:t xml:space="preserve">5.4  </w:t>
      </w:r>
      <w:r>
        <w:rPr>
          <w:rFonts w:hint="eastAsia"/>
        </w:rPr>
        <w:t>信用标采集注意事项（适用于采用信用评审方式）</w:t>
      </w:r>
      <w:bookmarkEnd w:id="688"/>
      <w:bookmarkEnd w:id="689"/>
      <w:bookmarkEnd w:id="690"/>
      <w:bookmarkEnd w:id="691"/>
      <w:bookmarkEnd w:id="692"/>
    </w:p>
    <w:p>
      <w:pPr>
        <w:spacing w:line="360" w:lineRule="auto"/>
        <w:ind w:firstLine="420" w:firstLineChars="200"/>
        <w:rPr>
          <w:rFonts w:ascii="宋体"/>
        </w:rPr>
      </w:pPr>
      <w:r>
        <w:rPr>
          <w:rFonts w:ascii="宋体" w:hAnsi="宋体"/>
        </w:rPr>
        <w:t xml:space="preserve">5.4.1  </w:t>
      </w:r>
      <w:r>
        <w:rPr>
          <w:rFonts w:hint="eastAsia" w:ascii="宋体" w:hAnsi="宋体"/>
        </w:rPr>
        <w:t>开标前注意事项</w:t>
      </w:r>
    </w:p>
    <w:p>
      <w:pPr>
        <w:spacing w:line="360" w:lineRule="auto"/>
        <w:ind w:firstLine="420" w:firstLineChars="200"/>
        <w:rPr>
          <w:rFonts w:ascii="宋体" w:cs="Arial"/>
          <w:bCs/>
          <w:szCs w:val="21"/>
        </w:rPr>
      </w:pPr>
      <w:r>
        <w:rPr>
          <w:rFonts w:hint="eastAsia" w:ascii="宋体" w:hAnsi="宋体" w:cs="Arial"/>
          <w:bCs/>
          <w:szCs w:val="21"/>
        </w:rPr>
        <w:t>招标人在开标当天，招标文件规定的投标截止时间前，登陆北京市住房和城乡建设委员会官方网站，查询所有获取了招标文件的潜在投标人的企业市场行为信用评价分值和（或）拟派项目经理注册建造师信用评价分值。</w:t>
      </w:r>
    </w:p>
    <w:p>
      <w:pPr>
        <w:spacing w:line="360" w:lineRule="auto"/>
        <w:ind w:firstLine="420" w:firstLineChars="200"/>
        <w:rPr>
          <w:rFonts w:ascii="宋体" w:cs="Arial"/>
          <w:bCs/>
          <w:szCs w:val="21"/>
        </w:rPr>
      </w:pPr>
      <w:r>
        <w:rPr>
          <w:rFonts w:hint="eastAsia" w:ascii="宋体" w:hAnsi="宋体" w:cs="Arial"/>
          <w:bCs/>
          <w:szCs w:val="21"/>
        </w:rPr>
        <w:t>如果招标人无法从北京市住房和城乡建设委员会官方网站中，查询到任何一个潜在投标人和（或）其拟派项目经理开标当日的信用评价分值，招标人必须延长招标文件载明的投标文件递交截止时间，直至问题解决后再依法重新确定投标文件递交截止时间。</w:t>
      </w:r>
    </w:p>
    <w:p>
      <w:pPr>
        <w:spacing w:line="360" w:lineRule="auto"/>
        <w:ind w:firstLine="420" w:firstLineChars="200"/>
        <w:rPr>
          <w:rFonts w:ascii="宋体"/>
        </w:rPr>
      </w:pPr>
      <w:r>
        <w:rPr>
          <w:rFonts w:ascii="宋体" w:hAnsi="宋体"/>
        </w:rPr>
        <w:t xml:space="preserve">5.4.2  </w:t>
      </w:r>
      <w:r>
        <w:rPr>
          <w:rFonts w:hint="eastAsia" w:ascii="宋体" w:hAnsi="宋体"/>
        </w:rPr>
        <w:t>开标时信息采集注意事项：</w:t>
      </w:r>
    </w:p>
    <w:p>
      <w:pPr>
        <w:spacing w:line="360" w:lineRule="auto"/>
        <w:ind w:firstLine="420" w:firstLineChars="200"/>
        <w:rPr>
          <w:rFonts w:ascii="宋体" w:cs="Arial"/>
          <w:bCs/>
          <w:szCs w:val="21"/>
        </w:rPr>
      </w:pPr>
      <w:r>
        <w:rPr>
          <w:rFonts w:hint="eastAsia" w:ascii="宋体" w:hAnsi="宋体" w:cs="Arial"/>
          <w:bCs/>
          <w:szCs w:val="21"/>
        </w:rPr>
        <w:t>在宣布开标人、记录人、监标人等有关人员姓名之后，采集本工程开标当日北京市住房和城乡建设委员会官方网站公布的相关投标人企业市场行为信用评价分值和（或）拟派项目经理注册建造师市场行为信用评价分值，并记入开标记录表中。</w:t>
      </w:r>
    </w:p>
    <w:p>
      <w:pPr>
        <w:spacing w:line="360" w:lineRule="auto"/>
        <w:ind w:firstLine="420" w:firstLineChars="200"/>
        <w:rPr>
          <w:rFonts w:ascii="宋体" w:cs="Arial"/>
          <w:bCs/>
          <w:szCs w:val="21"/>
        </w:rPr>
      </w:pPr>
      <w:r>
        <w:rPr>
          <w:rFonts w:hint="eastAsia" w:ascii="宋体" w:hAnsi="宋体" w:cs="Arial"/>
          <w:bCs/>
          <w:szCs w:val="21"/>
        </w:rPr>
        <w:t>联合体参与投标的，采集本工程开标当日北京市住房和城乡建设委员会公布的联合体所有成员企业市场行为信用评价分值，并在唱标时，将联合体协议书中约定的分工比例记入开标记录，经联合体牵头人授权代表、招标人授权代表、监标人、记录人等有关人员在开标记录表上签字确认。</w:t>
      </w:r>
    </w:p>
    <w:p>
      <w:pPr>
        <w:spacing w:line="360" w:lineRule="auto"/>
        <w:ind w:firstLine="420" w:firstLineChars="200"/>
        <w:rPr>
          <w:rFonts w:ascii="宋体"/>
        </w:rPr>
      </w:pPr>
      <w:r>
        <w:rPr>
          <w:rFonts w:ascii="宋体" w:hAnsi="宋体"/>
        </w:rPr>
        <w:t xml:space="preserve">5.4.3  </w:t>
      </w:r>
      <w:r>
        <w:rPr>
          <w:rFonts w:hint="eastAsia" w:ascii="宋体" w:hAnsi="宋体"/>
        </w:rPr>
        <w:t>开标时特殊情况的处理：</w:t>
      </w:r>
    </w:p>
    <w:p>
      <w:pPr>
        <w:spacing w:line="360" w:lineRule="auto"/>
        <w:ind w:firstLine="420" w:firstLineChars="200"/>
        <w:rPr>
          <w:rFonts w:ascii="宋体" w:hAnsi="宋体" w:cs="Arial"/>
          <w:bCs/>
          <w:szCs w:val="21"/>
        </w:rPr>
      </w:pPr>
      <w:r>
        <w:rPr>
          <w:rFonts w:hint="eastAsia" w:ascii="宋体" w:hAnsi="宋体" w:cs="Arial"/>
          <w:bCs/>
          <w:szCs w:val="21"/>
        </w:rPr>
        <w:t>在招标文件载明的递交投标文件截止时间前，招标人通过北京市住房和城乡建设委员会官方网站，开标当天提前查询所有已经获取招标文件的潜在投标人的企业的市场行为信用评价分值及注册建造师（拟派项目经理）市场行为信用评价分值，以确保如期进行开标。但是，因不可抗力原因导致开标现场仍然无法采集到开标当日已经递交了投标文件的投标人的企业市场行为信用评价分值及注册建造师（拟派项目经理）市场行为信用评价分值时，招标人将按照下列程序处理：</w:t>
      </w:r>
    </w:p>
    <w:p>
      <w:pPr>
        <w:spacing w:line="360" w:lineRule="auto"/>
        <w:ind w:firstLine="420" w:firstLineChars="200"/>
        <w:rPr>
          <w:rFonts w:ascii="宋体" w:cs="Arial"/>
          <w:bCs/>
          <w:szCs w:val="21"/>
        </w:rPr>
      </w:pPr>
      <w:r>
        <w:rPr>
          <w:rFonts w:hint="eastAsia" w:ascii="宋体" w:hAnsi="宋体" w:cs="Arial"/>
          <w:bCs/>
          <w:szCs w:val="21"/>
        </w:rPr>
        <w:t>适用于现场开标</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1</w:t>
      </w:r>
      <w:r>
        <w:rPr>
          <w:rFonts w:hint="eastAsia" w:ascii="宋体" w:hAnsi="宋体" w:cs="Arial"/>
          <w:bCs/>
          <w:szCs w:val="21"/>
        </w:rPr>
        <w:t>）立即终止已经进行的开标程序，并当场宣布开标推迟；</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2</w:t>
      </w:r>
      <w:r>
        <w:rPr>
          <w:rFonts w:hint="eastAsia" w:ascii="宋体" w:hAnsi="宋体" w:cs="Arial"/>
          <w:bCs/>
          <w:szCs w:val="21"/>
        </w:rPr>
        <w:t>）如实记录推迟开标的具体原因，由招标人授权代表、记录人、监标人和各投标人的代表当众签字确认；</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3</w:t>
      </w:r>
      <w:r>
        <w:rPr>
          <w:rFonts w:hint="eastAsia" w:ascii="宋体" w:hAnsi="宋体" w:cs="Arial"/>
          <w:bCs/>
          <w:szCs w:val="21"/>
        </w:rPr>
        <w:t>）宣布待北京市住房和城乡建设委官方网站可以查询所有投标人的企业或注册建造师市场行为信用评价分值时，重新组织开标，具体时间以招标人书面通知为准；</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4</w:t>
      </w:r>
      <w:r>
        <w:rPr>
          <w:rFonts w:hint="eastAsia" w:ascii="宋体" w:hAnsi="宋体" w:cs="Arial"/>
          <w:bCs/>
          <w:szCs w:val="21"/>
        </w:rPr>
        <w:t>）已经递交的投标文件由招标人封存在交易场所；</w:t>
      </w:r>
    </w:p>
    <w:p>
      <w:pPr>
        <w:spacing w:line="360" w:lineRule="auto"/>
        <w:ind w:firstLine="420" w:firstLineChars="200"/>
        <w:rPr>
          <w:rFonts w:ascii="宋体" w:hAnsi="宋体" w:cs="Arial"/>
          <w:bCs/>
          <w:szCs w:val="21"/>
        </w:rPr>
      </w:pPr>
      <w:r>
        <w:rPr>
          <w:rFonts w:hint="eastAsia" w:ascii="宋体" w:hAnsi="宋体" w:cs="Arial"/>
          <w:bCs/>
          <w:szCs w:val="21"/>
        </w:rPr>
        <w:t>（</w:t>
      </w:r>
      <w:r>
        <w:rPr>
          <w:rFonts w:ascii="宋体" w:hAnsi="宋体" w:cs="Arial"/>
          <w:bCs/>
          <w:szCs w:val="21"/>
        </w:rPr>
        <w:t>5</w:t>
      </w:r>
      <w:r>
        <w:rPr>
          <w:rFonts w:hint="eastAsia" w:ascii="宋体" w:hAnsi="宋体" w:cs="Arial"/>
          <w:bCs/>
          <w:szCs w:val="21"/>
        </w:rPr>
        <w:t>）重新组织开标时，除被招标人封存的投标文件外，招标人不再接受任何新的投标文件，也不接受任何投标人对已经递交的投标文件的修改或补充。</w:t>
      </w:r>
    </w:p>
    <w:p>
      <w:pPr>
        <w:spacing w:line="360" w:lineRule="auto"/>
        <w:ind w:firstLine="420" w:firstLineChars="200"/>
        <w:rPr>
          <w:rFonts w:ascii="宋体" w:hAnsi="宋体" w:cs="Arial"/>
          <w:bCs/>
          <w:szCs w:val="21"/>
        </w:rPr>
      </w:pPr>
      <w:r>
        <w:rPr>
          <w:rFonts w:hint="eastAsia" w:ascii="宋体" w:hAnsi="宋体" w:cs="Arial"/>
          <w:bCs/>
          <w:szCs w:val="21"/>
        </w:rPr>
        <w:t>适用于远程在线开标</w:t>
      </w:r>
    </w:p>
    <w:p>
      <w:pPr>
        <w:spacing w:line="360" w:lineRule="auto"/>
        <w:ind w:firstLine="420" w:firstLineChars="200"/>
        <w:rPr>
          <w:rFonts w:ascii="宋体" w:hAnsi="宋体" w:cs="Arial"/>
          <w:bCs/>
          <w:szCs w:val="21"/>
        </w:rPr>
      </w:pPr>
      <w:r>
        <w:rPr>
          <w:rFonts w:hint="eastAsia" w:ascii="宋体" w:hAnsi="宋体" w:cs="Arial"/>
          <w:bCs/>
          <w:szCs w:val="21"/>
        </w:rPr>
        <w:t>（</w:t>
      </w:r>
      <w:r>
        <w:rPr>
          <w:rFonts w:ascii="宋体" w:hAnsi="宋体" w:cs="Arial"/>
          <w:bCs/>
          <w:szCs w:val="21"/>
        </w:rPr>
        <w:t>1）立即终止已经进行的开标程序，公布开标推迟，并如实记录推迟开标的具体原因；</w:t>
      </w:r>
    </w:p>
    <w:p>
      <w:pPr>
        <w:spacing w:line="360" w:lineRule="auto"/>
        <w:ind w:firstLine="420" w:firstLineChars="200"/>
        <w:rPr>
          <w:rFonts w:ascii="宋体" w:hAnsi="宋体" w:cs="Arial"/>
          <w:bCs/>
          <w:szCs w:val="21"/>
        </w:rPr>
      </w:pPr>
      <w:r>
        <w:rPr>
          <w:rFonts w:hint="eastAsia" w:ascii="宋体" w:hAnsi="宋体" w:cs="Arial"/>
          <w:bCs/>
          <w:szCs w:val="21"/>
        </w:rPr>
        <w:t>（</w:t>
      </w:r>
      <w:r>
        <w:rPr>
          <w:rFonts w:ascii="宋体" w:hAnsi="宋体" w:cs="Arial"/>
          <w:bCs/>
          <w:szCs w:val="21"/>
        </w:rPr>
        <w:t>2）公布待</w:t>
      </w:r>
      <w:r>
        <w:rPr>
          <w:rFonts w:hint="eastAsia" w:ascii="宋体" w:hAnsi="宋体" w:cs="Arial"/>
          <w:bCs/>
          <w:szCs w:val="21"/>
        </w:rPr>
        <w:t>北京</w:t>
      </w:r>
      <w:r>
        <w:rPr>
          <w:rFonts w:ascii="宋体" w:hAnsi="宋体" w:cs="Arial"/>
          <w:bCs/>
          <w:szCs w:val="21"/>
        </w:rPr>
        <w:t>市住房和城乡建设委官方网站可以查询所有投标人的企业或注册建造师市场行为信用评价分值时，重新组织开标，具体时间以招标人</w:t>
      </w:r>
      <w:r>
        <w:rPr>
          <w:rFonts w:hint="eastAsia" w:ascii="宋体" w:hAnsi="宋体" w:cs="Arial"/>
          <w:bCs/>
          <w:szCs w:val="21"/>
        </w:rPr>
        <w:t>通过电子化平台通知为准；</w:t>
      </w:r>
    </w:p>
    <w:p>
      <w:pPr>
        <w:spacing w:line="360" w:lineRule="auto"/>
        <w:ind w:firstLine="420" w:firstLineChars="200"/>
        <w:rPr>
          <w:rFonts w:ascii="宋体" w:hAnsi="宋体" w:cs="Arial"/>
          <w:bCs/>
          <w:szCs w:val="21"/>
        </w:rPr>
      </w:pPr>
      <w:r>
        <w:rPr>
          <w:rFonts w:hint="eastAsia" w:ascii="宋体" w:hAnsi="宋体" w:cs="Arial"/>
          <w:bCs/>
          <w:szCs w:val="21"/>
        </w:rPr>
        <w:t>（</w:t>
      </w:r>
      <w:r>
        <w:rPr>
          <w:rFonts w:ascii="宋体" w:hAnsi="宋体" w:cs="Arial"/>
          <w:bCs/>
          <w:szCs w:val="21"/>
        </w:rPr>
        <w:t>3）重新组织开标时，除已经提交过的投标文件外，招标人不再接受任何新的投标文件，也不接受任何投标人对已经递交的投标文件的修改或补充。</w:t>
      </w:r>
    </w:p>
    <w:p>
      <w:pPr>
        <w:spacing w:line="360" w:lineRule="auto"/>
        <w:ind w:firstLine="420" w:firstLineChars="200"/>
        <w:rPr>
          <w:rFonts w:ascii="宋体"/>
        </w:rPr>
      </w:pPr>
      <w:r>
        <w:rPr>
          <w:rFonts w:ascii="宋体" w:hAnsi="宋体"/>
        </w:rPr>
        <w:t xml:space="preserve">5.4.4  </w:t>
      </w:r>
      <w:r>
        <w:rPr>
          <w:rFonts w:hint="eastAsia" w:ascii="宋体" w:hAnsi="宋体"/>
        </w:rPr>
        <w:t>招标人推迟开标后续事项处理</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1</w:t>
      </w:r>
      <w:r>
        <w:rPr>
          <w:rFonts w:hint="eastAsia" w:ascii="宋体" w:hAnsi="宋体" w:cs="Arial"/>
          <w:bCs/>
          <w:szCs w:val="21"/>
        </w:rPr>
        <w:t>）开标现场无法查询到企业或其注册建造师（拟派项目经理）市场行为信用评价分值的投标人，应当及时以书面形式向北京市住房和城乡建设委有关部门反映相关情况，并将有关答复情况书面告知招标人。</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2</w:t>
      </w:r>
      <w:r>
        <w:rPr>
          <w:rFonts w:hint="eastAsia" w:ascii="宋体" w:hAnsi="宋体" w:cs="Arial"/>
          <w:bCs/>
          <w:szCs w:val="21"/>
        </w:rPr>
        <w:t>）招标人在确认北京市住房和城乡建设委官方网站可以查询到招标工程所有投标人的有关市场行为信用评价分值时，以书面形式通知第一次按时递交了投标文件的投标人重新组织开标的时间和地点。</w:t>
      </w:r>
    </w:p>
    <w:p>
      <w:pPr>
        <w:spacing w:line="360" w:lineRule="auto"/>
        <w:ind w:firstLine="420" w:firstLineChars="200"/>
        <w:rPr>
          <w:rFonts w:ascii="宋体" w:cs="Arial"/>
          <w:bCs/>
          <w:szCs w:val="21"/>
        </w:rPr>
      </w:pPr>
      <w:r>
        <w:rPr>
          <w:rFonts w:hint="eastAsia" w:ascii="宋体" w:hAnsi="宋体" w:cs="Arial"/>
          <w:bCs/>
          <w:szCs w:val="21"/>
        </w:rPr>
        <w:t>（</w:t>
      </w:r>
      <w:r>
        <w:rPr>
          <w:rFonts w:ascii="宋体" w:hAnsi="宋体" w:cs="Arial"/>
          <w:bCs/>
          <w:szCs w:val="21"/>
        </w:rPr>
        <w:t>3</w:t>
      </w:r>
      <w:r>
        <w:rPr>
          <w:rFonts w:hint="eastAsia" w:ascii="宋体" w:hAnsi="宋体" w:cs="Arial"/>
          <w:bCs/>
          <w:szCs w:val="21"/>
        </w:rPr>
        <w:t>）重新组织开标时，投标人的企业或其注册建造师（拟派项目经理）市场行为信用评价分值，仍采集招标文件载明的原投标截止时间当日（即第一次因信用评价分值采集失败而被推迟的开标日期）北京市住房和城乡建设委官方网站公布的相应信用评价分值。</w:t>
      </w:r>
    </w:p>
    <w:p>
      <w:pPr>
        <w:spacing w:line="360" w:lineRule="auto"/>
        <w:ind w:firstLine="420" w:firstLineChars="200"/>
        <w:rPr>
          <w:rFonts w:ascii="宋体"/>
        </w:rPr>
      </w:pPr>
      <w:r>
        <w:rPr>
          <w:rFonts w:ascii="宋体" w:hAnsi="宋体"/>
        </w:rPr>
        <w:t xml:space="preserve">5.4.5  </w:t>
      </w:r>
      <w:r>
        <w:rPr>
          <w:rFonts w:hint="eastAsia" w:ascii="宋体" w:hAnsi="宋体"/>
        </w:rPr>
        <w:t>市场行为信用评价分值异议的处理</w:t>
      </w:r>
    </w:p>
    <w:p>
      <w:pPr>
        <w:spacing w:line="360" w:lineRule="auto"/>
        <w:ind w:firstLine="420" w:firstLineChars="200"/>
        <w:rPr>
          <w:rFonts w:ascii="宋体" w:cs="Arial"/>
          <w:bCs/>
          <w:szCs w:val="21"/>
        </w:rPr>
      </w:pPr>
      <w:r>
        <w:rPr>
          <w:rFonts w:hint="eastAsia" w:ascii="宋体" w:hAnsi="宋体" w:cs="Arial"/>
          <w:bCs/>
          <w:szCs w:val="21"/>
        </w:rPr>
        <w:t>投标人应当及时登录北京市住房和城乡建设委官方网站，查询企业或注册建造师市场行为信用评价分值和评价情况，对市场行为评价信用评价分值有异议的，应当及时向北京市住房和城乡建设委书面提出书面异议。</w:t>
      </w:r>
    </w:p>
    <w:p>
      <w:pPr>
        <w:spacing w:line="360" w:lineRule="auto"/>
        <w:ind w:firstLine="420" w:firstLineChars="200"/>
        <w:rPr>
          <w:rFonts w:ascii="宋体" w:cs="Arial"/>
          <w:bCs/>
          <w:szCs w:val="21"/>
        </w:rPr>
      </w:pPr>
      <w:r>
        <w:rPr>
          <w:rFonts w:hint="eastAsia" w:ascii="宋体" w:hAnsi="宋体" w:cs="Arial"/>
          <w:bCs/>
          <w:szCs w:val="21"/>
        </w:rPr>
        <w:t>在开标会现场</w:t>
      </w:r>
      <w:r>
        <w:rPr>
          <w:rFonts w:ascii="宋体" w:cs="Arial"/>
          <w:bCs/>
          <w:szCs w:val="21"/>
        </w:rPr>
        <w:t>,</w:t>
      </w:r>
      <w:r>
        <w:rPr>
          <w:rFonts w:hint="eastAsia" w:ascii="宋体" w:hAnsi="宋体" w:cs="Arial"/>
          <w:bCs/>
          <w:szCs w:val="21"/>
        </w:rPr>
        <w:t>招标投标行政监督部门不接受招标人、投标人等利害关系人对北京市住房和城乡建设委官方网站已经公布的企业、注册建造师市场行为信用评价分值的异议和投诉。</w:t>
      </w:r>
    </w:p>
    <w:p>
      <w:pPr>
        <w:pStyle w:val="144"/>
        <w:spacing w:before="120" w:after="120"/>
      </w:pPr>
      <w:bookmarkStart w:id="693" w:name="_Toc489279812"/>
      <w:bookmarkStart w:id="694" w:name="_Toc490222445"/>
      <w:bookmarkStart w:id="695" w:name="_Toc117350365"/>
      <w:bookmarkStart w:id="696" w:name="_Toc486579999"/>
      <w:bookmarkStart w:id="697" w:name="_Toc482197549"/>
      <w:r>
        <w:t>6.</w:t>
      </w:r>
      <w:r>
        <w:rPr>
          <w:rFonts w:hint="eastAsia"/>
        </w:rPr>
        <w:t>评标</w:t>
      </w:r>
      <w:bookmarkEnd w:id="674"/>
      <w:bookmarkEnd w:id="675"/>
      <w:bookmarkEnd w:id="676"/>
      <w:bookmarkEnd w:id="677"/>
      <w:bookmarkEnd w:id="678"/>
      <w:bookmarkEnd w:id="679"/>
      <w:bookmarkEnd w:id="680"/>
      <w:bookmarkEnd w:id="681"/>
      <w:bookmarkEnd w:id="682"/>
      <w:bookmarkEnd w:id="683"/>
      <w:bookmarkEnd w:id="684"/>
      <w:bookmarkEnd w:id="685"/>
      <w:bookmarkEnd w:id="693"/>
      <w:bookmarkEnd w:id="694"/>
      <w:bookmarkEnd w:id="695"/>
      <w:bookmarkEnd w:id="696"/>
      <w:bookmarkEnd w:id="697"/>
    </w:p>
    <w:p>
      <w:pPr>
        <w:pStyle w:val="155"/>
        <w:spacing w:before="120" w:after="120"/>
      </w:pPr>
      <w:bookmarkStart w:id="698" w:name="_Toc342296196"/>
      <w:bookmarkStart w:id="699" w:name="_Toc486580000"/>
      <w:bookmarkStart w:id="700" w:name="_Toc490222446"/>
      <w:bookmarkStart w:id="701" w:name="_Toc152042339"/>
      <w:bookmarkStart w:id="702" w:name="_Toc117350366"/>
      <w:bookmarkStart w:id="703" w:name="_Toc333587887"/>
      <w:bookmarkStart w:id="704" w:name="_Toc152045563"/>
      <w:bookmarkStart w:id="705" w:name="_Toc338944639"/>
      <w:bookmarkStart w:id="706" w:name="_Toc489279813"/>
      <w:bookmarkStart w:id="707" w:name="_Toc349730875"/>
      <w:bookmarkStart w:id="708" w:name="_Toc338943734"/>
      <w:bookmarkStart w:id="709" w:name="_Toc333599693"/>
      <w:bookmarkStart w:id="710" w:name="_Toc342294748"/>
      <w:bookmarkStart w:id="711" w:name="_Toc144974531"/>
      <w:bookmarkStart w:id="712" w:name="_Toc429569134"/>
      <w:bookmarkStart w:id="713" w:name="_Toc333600717"/>
      <w:bookmarkStart w:id="714" w:name="_Toc482197550"/>
      <w:bookmarkStart w:id="715" w:name="_Toc179632581"/>
      <w:r>
        <w:t xml:space="preserve">6.1  </w:t>
      </w:r>
      <w:r>
        <w:rPr>
          <w:rFonts w:hint="eastAsia"/>
        </w:rPr>
        <w:t>评标委员会</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pPr>
        <w:spacing w:line="360" w:lineRule="auto"/>
        <w:ind w:firstLine="420" w:firstLineChars="200"/>
        <w:rPr>
          <w:rFonts w:ascii="宋体"/>
        </w:rPr>
      </w:pPr>
      <w:r>
        <w:rPr>
          <w:rFonts w:ascii="宋体" w:hAnsi="宋体"/>
        </w:rPr>
        <w:t xml:space="preserve">6.1.1  </w:t>
      </w:r>
      <w:r>
        <w:rPr>
          <w:rFonts w:hint="eastAsia" w:ascii="宋体" w:hAnsi="宋体"/>
        </w:rPr>
        <w:t>评标由招标人依法组建的评标委员会负责。评标委员会由招标人或其委托的招标代理机构熟悉相关业务的代表，以及有关技术、经济等方面的专家组成。评标委员会成员人数以及技术、经济等方面专家的确定方式</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6.1.2  </w:t>
      </w:r>
      <w:r>
        <w:rPr>
          <w:rFonts w:hint="eastAsia" w:ascii="宋体" w:hAnsi="宋体"/>
        </w:rPr>
        <w:t>评标委员会成员有下列情形之一的，应当回避：</w:t>
      </w:r>
    </w:p>
    <w:p>
      <w:pPr>
        <w:spacing w:line="360" w:lineRule="auto"/>
        <w:ind w:firstLine="424" w:firstLineChars="202"/>
        <w:rPr>
          <w:rFonts w:ascii="宋体"/>
        </w:rPr>
      </w:pPr>
      <w:r>
        <w:rPr>
          <w:rFonts w:hint="eastAsia" w:ascii="宋体" w:hAnsi="宋体"/>
        </w:rPr>
        <w:t>（</w:t>
      </w:r>
      <w:r>
        <w:rPr>
          <w:rFonts w:ascii="宋体" w:hAnsi="宋体"/>
        </w:rPr>
        <w:t>1</w:t>
      </w:r>
      <w:r>
        <w:rPr>
          <w:rFonts w:hint="eastAsia" w:ascii="宋体" w:hAnsi="宋体"/>
        </w:rPr>
        <w:t>）招标人或投标人的主要负责人的近亲属；</w:t>
      </w:r>
    </w:p>
    <w:p>
      <w:pPr>
        <w:spacing w:line="360" w:lineRule="auto"/>
        <w:ind w:firstLine="424" w:firstLineChars="202"/>
        <w:rPr>
          <w:rFonts w:ascii="宋体"/>
        </w:rPr>
      </w:pPr>
      <w:r>
        <w:rPr>
          <w:rFonts w:hint="eastAsia" w:ascii="宋体" w:hAnsi="宋体"/>
        </w:rPr>
        <w:t>（</w:t>
      </w:r>
      <w:r>
        <w:rPr>
          <w:rFonts w:ascii="宋体" w:hAnsi="宋体"/>
        </w:rPr>
        <w:t>2</w:t>
      </w:r>
      <w:r>
        <w:rPr>
          <w:rFonts w:hint="eastAsia" w:ascii="宋体" w:hAnsi="宋体"/>
        </w:rPr>
        <w:t>）项目主管部门或者行政监督部门的人员；</w:t>
      </w:r>
    </w:p>
    <w:p>
      <w:pPr>
        <w:spacing w:line="360" w:lineRule="auto"/>
        <w:ind w:firstLine="424" w:firstLineChars="202"/>
        <w:rPr>
          <w:rFonts w:ascii="宋体"/>
        </w:rPr>
      </w:pPr>
      <w:r>
        <w:rPr>
          <w:rFonts w:hint="eastAsia" w:ascii="宋体" w:hAnsi="宋体"/>
        </w:rPr>
        <w:t>（</w:t>
      </w:r>
      <w:r>
        <w:rPr>
          <w:rFonts w:ascii="宋体" w:hAnsi="宋体"/>
        </w:rPr>
        <w:t>3</w:t>
      </w:r>
      <w:r>
        <w:rPr>
          <w:rFonts w:hint="eastAsia" w:ascii="宋体" w:hAnsi="宋体"/>
        </w:rPr>
        <w:t>）与投标人有利害关系或者经济利益关系的，包括本人所在单位与投标人有隶属关系；从投标人单位调离、辞职或者离职不足三年；从投标人单位退休不足五年；投标人单位的股东等；</w:t>
      </w:r>
    </w:p>
    <w:p>
      <w:pPr>
        <w:spacing w:line="360" w:lineRule="auto"/>
        <w:ind w:firstLine="424" w:firstLineChars="202"/>
        <w:rPr>
          <w:rFonts w:ascii="宋体"/>
        </w:rPr>
      </w:pPr>
      <w:r>
        <w:rPr>
          <w:rFonts w:hint="eastAsia" w:ascii="宋体" w:hAnsi="宋体"/>
        </w:rPr>
        <w:t>（</w:t>
      </w:r>
      <w:r>
        <w:rPr>
          <w:rFonts w:ascii="宋体" w:hAnsi="宋体"/>
        </w:rPr>
        <w:t>4</w:t>
      </w:r>
      <w:r>
        <w:rPr>
          <w:rFonts w:hint="eastAsia" w:ascii="宋体" w:hAnsi="宋体"/>
        </w:rPr>
        <w:t>）曾因在招标、评标以及其他与招标投标有关活动中从事违法行为而受过行政处罚或刑事处罚的；</w:t>
      </w:r>
    </w:p>
    <w:p>
      <w:pPr>
        <w:spacing w:line="360" w:lineRule="auto"/>
        <w:ind w:firstLine="424" w:firstLineChars="202"/>
        <w:rPr>
          <w:rFonts w:ascii="宋体"/>
        </w:rPr>
      </w:pPr>
      <w:r>
        <w:rPr>
          <w:rFonts w:hint="eastAsia" w:ascii="宋体" w:hAnsi="宋体"/>
          <w:szCs w:val="21"/>
        </w:rPr>
        <w:t>（</w:t>
      </w:r>
      <w:r>
        <w:rPr>
          <w:rFonts w:ascii="宋体" w:hAnsi="宋体"/>
          <w:szCs w:val="21"/>
        </w:rPr>
        <w:t>5</w:t>
      </w:r>
      <w:r>
        <w:rPr>
          <w:rFonts w:hint="eastAsia" w:ascii="宋体" w:hAnsi="宋体"/>
          <w:szCs w:val="21"/>
        </w:rPr>
        <w:t>）被人民法院纳入失信被执行人的。</w:t>
      </w:r>
    </w:p>
    <w:p>
      <w:pPr>
        <w:pStyle w:val="155"/>
        <w:tabs>
          <w:tab w:val="left" w:pos="2620"/>
        </w:tabs>
        <w:spacing w:before="120" w:after="120"/>
      </w:pPr>
      <w:bookmarkStart w:id="716" w:name="_Toc342294749"/>
      <w:bookmarkStart w:id="717" w:name="_Toc342296197"/>
      <w:bookmarkStart w:id="718" w:name="_Toc152045564"/>
      <w:bookmarkStart w:id="719" w:name="_Toc482197551"/>
      <w:bookmarkStart w:id="720" w:name="_Toc117350367"/>
      <w:bookmarkStart w:id="721" w:name="_Toc333600718"/>
      <w:bookmarkStart w:id="722" w:name="_Toc429569135"/>
      <w:bookmarkStart w:id="723" w:name="_Toc489279814"/>
      <w:bookmarkStart w:id="724" w:name="_Toc486580001"/>
      <w:bookmarkStart w:id="725" w:name="_Toc333599694"/>
      <w:bookmarkStart w:id="726" w:name="_Toc490222447"/>
      <w:bookmarkStart w:id="727" w:name="_Toc333587888"/>
      <w:bookmarkStart w:id="728" w:name="_Toc338944640"/>
      <w:bookmarkStart w:id="729" w:name="_Toc179632582"/>
      <w:bookmarkStart w:id="730" w:name="_Toc338943735"/>
      <w:bookmarkStart w:id="731" w:name="_Toc152042340"/>
      <w:bookmarkStart w:id="732" w:name="_Toc349730876"/>
      <w:bookmarkStart w:id="733" w:name="_Toc144974532"/>
      <w:r>
        <w:t xml:space="preserve">6.2  </w:t>
      </w:r>
      <w:r>
        <w:rPr>
          <w:rFonts w:hint="eastAsia"/>
        </w:rPr>
        <w:t>评标原则</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pPr>
        <w:spacing w:line="360" w:lineRule="auto"/>
        <w:ind w:firstLine="420" w:firstLineChars="200"/>
        <w:rPr>
          <w:rFonts w:ascii="宋体"/>
        </w:rPr>
      </w:pPr>
      <w:r>
        <w:rPr>
          <w:rFonts w:hint="eastAsia" w:ascii="宋体" w:hAnsi="宋体"/>
        </w:rPr>
        <w:t>评标活动遵循公平、公正、科学和择优的原则。</w:t>
      </w:r>
    </w:p>
    <w:p>
      <w:pPr>
        <w:pStyle w:val="155"/>
        <w:spacing w:before="120" w:after="120"/>
      </w:pPr>
      <w:bookmarkStart w:id="734" w:name="_Toc117350368"/>
      <w:bookmarkStart w:id="735" w:name="_Toc152042341"/>
      <w:bookmarkStart w:id="736" w:name="_Toc179632583"/>
      <w:bookmarkStart w:id="737" w:name="_Toc144974533"/>
      <w:bookmarkStart w:id="738" w:name="_Toc333600719"/>
      <w:bookmarkStart w:id="739" w:name="_Toc333599695"/>
      <w:bookmarkStart w:id="740" w:name="_Toc489279815"/>
      <w:bookmarkStart w:id="741" w:name="_Toc342296198"/>
      <w:bookmarkStart w:id="742" w:name="_Toc338943736"/>
      <w:bookmarkStart w:id="743" w:name="_Toc490222448"/>
      <w:bookmarkStart w:id="744" w:name="_Toc342294750"/>
      <w:bookmarkStart w:id="745" w:name="_Toc338944641"/>
      <w:bookmarkStart w:id="746" w:name="_Toc486580002"/>
      <w:bookmarkStart w:id="747" w:name="_Toc333587889"/>
      <w:bookmarkStart w:id="748" w:name="_Toc152045565"/>
      <w:bookmarkStart w:id="749" w:name="_Toc482197552"/>
      <w:bookmarkStart w:id="750" w:name="_Toc429569136"/>
      <w:bookmarkStart w:id="751" w:name="_Toc349730877"/>
      <w:r>
        <w:t xml:space="preserve">6.3  </w:t>
      </w:r>
      <w:r>
        <w:rPr>
          <w:rFonts w:hint="eastAsia"/>
        </w:rPr>
        <w:t>评标</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spacing w:line="360" w:lineRule="auto"/>
        <w:ind w:firstLine="420" w:firstLineChars="200"/>
        <w:rPr>
          <w:rFonts w:ascii="宋体"/>
        </w:rPr>
      </w:pPr>
      <w:r>
        <w:rPr>
          <w:rFonts w:hint="eastAsia" w:ascii="宋体" w:hAnsi="宋体"/>
        </w:rPr>
        <w:t>评标委员会按照第三章“评标办法”规定的方法、评审因素、标准和程序对投标文件进行评审。第三章“评标办法”没有规定的方法、评审因素和标准，不作为评标依据。</w:t>
      </w:r>
    </w:p>
    <w:p>
      <w:pPr>
        <w:pStyle w:val="144"/>
        <w:spacing w:before="120" w:after="120"/>
      </w:pPr>
      <w:bookmarkStart w:id="752" w:name="_Toc117350369"/>
      <w:bookmarkStart w:id="753" w:name="_Toc179632584"/>
      <w:bookmarkStart w:id="754" w:name="_Toc342296199"/>
      <w:bookmarkStart w:id="755" w:name="_Toc482197553"/>
      <w:bookmarkStart w:id="756" w:name="_Toc349730878"/>
      <w:bookmarkStart w:id="757" w:name="_Toc144974534"/>
      <w:bookmarkStart w:id="758" w:name="_Toc152042342"/>
      <w:bookmarkStart w:id="759" w:name="_Toc489279816"/>
      <w:bookmarkStart w:id="760" w:name="_Toc152045566"/>
      <w:bookmarkStart w:id="761" w:name="_Toc338944642"/>
      <w:bookmarkStart w:id="762" w:name="_Toc333599696"/>
      <w:bookmarkStart w:id="763" w:name="_Toc333600720"/>
      <w:bookmarkStart w:id="764" w:name="_Toc338943737"/>
      <w:bookmarkStart w:id="765" w:name="_Toc429569137"/>
      <w:bookmarkStart w:id="766" w:name="_Toc486580003"/>
      <w:bookmarkStart w:id="767" w:name="_Toc342294751"/>
      <w:bookmarkStart w:id="768" w:name="_Toc490222449"/>
      <w:r>
        <w:t>7.</w:t>
      </w:r>
      <w:r>
        <w:rPr>
          <w:rFonts w:hint="eastAsia"/>
        </w:rPr>
        <w:t>合同授予</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pPr>
        <w:pStyle w:val="155"/>
        <w:spacing w:before="120" w:after="120"/>
      </w:pPr>
      <w:bookmarkStart w:id="769" w:name="_Toc333599697"/>
      <w:bookmarkStart w:id="770" w:name="_Toc338943738"/>
      <w:bookmarkStart w:id="771" w:name="_Toc152045567"/>
      <w:bookmarkStart w:id="772" w:name="_Toc429569138"/>
      <w:bookmarkStart w:id="773" w:name="_Toc338944643"/>
      <w:bookmarkStart w:id="774" w:name="_Toc144974535"/>
      <w:bookmarkStart w:id="775" w:name="_Toc349730879"/>
      <w:bookmarkStart w:id="776" w:name="_Toc342296200"/>
      <w:bookmarkStart w:id="777" w:name="_Toc152042343"/>
      <w:bookmarkStart w:id="778" w:name="_Toc179632585"/>
      <w:bookmarkStart w:id="779" w:name="_Toc342294752"/>
      <w:bookmarkStart w:id="780" w:name="_Toc333600721"/>
      <w:bookmarkStart w:id="781" w:name="_Toc333587891"/>
      <w:bookmarkStart w:id="782" w:name="_Toc117350370"/>
      <w:bookmarkStart w:id="783" w:name="_Toc489279817"/>
      <w:bookmarkStart w:id="784" w:name="_Toc482197554"/>
      <w:bookmarkStart w:id="785" w:name="_Toc486580004"/>
      <w:bookmarkStart w:id="786" w:name="_Toc490222450"/>
      <w:r>
        <w:t xml:space="preserve">7.1  </w:t>
      </w:r>
      <w:r>
        <w:rPr>
          <w:rFonts w:hint="eastAsia"/>
        </w:rPr>
        <w:t>定标方式</w:t>
      </w:r>
      <w:bookmarkEnd w:id="769"/>
      <w:bookmarkEnd w:id="770"/>
      <w:bookmarkEnd w:id="771"/>
      <w:bookmarkEnd w:id="772"/>
      <w:bookmarkEnd w:id="773"/>
      <w:bookmarkEnd w:id="774"/>
      <w:bookmarkEnd w:id="775"/>
      <w:bookmarkEnd w:id="776"/>
      <w:bookmarkEnd w:id="777"/>
      <w:bookmarkEnd w:id="778"/>
      <w:bookmarkEnd w:id="779"/>
      <w:bookmarkEnd w:id="780"/>
      <w:bookmarkEnd w:id="781"/>
      <w:r>
        <w:rPr>
          <w:rFonts w:hint="eastAsia"/>
        </w:rPr>
        <w:t>及方法</w:t>
      </w:r>
      <w:bookmarkEnd w:id="782"/>
      <w:bookmarkEnd w:id="783"/>
      <w:bookmarkEnd w:id="784"/>
      <w:bookmarkEnd w:id="785"/>
      <w:bookmarkEnd w:id="786"/>
    </w:p>
    <w:p>
      <w:pPr>
        <w:spacing w:line="360" w:lineRule="auto"/>
        <w:ind w:firstLine="420" w:firstLineChars="200"/>
        <w:rPr>
          <w:rFonts w:ascii="宋体"/>
        </w:rPr>
      </w:pPr>
      <w:r>
        <w:rPr>
          <w:rFonts w:hint="eastAsia" w:ascii="宋体" w:hAnsi="宋体"/>
        </w:rPr>
        <w:t>除投标人须知专用部分规定评标委员会直接确定中标人外，招标人依据评标委员会推荐的中标候选人确定中标人。是否由评标委员会直接确定中标人；或由评标委员会推荐中标候选人的人数及招标人确定中标人的相关约定</w:t>
      </w:r>
      <w:r>
        <w:rPr>
          <w:rFonts w:hint="eastAsia" w:ascii="黑体" w:hAnsi="黑体" w:eastAsia="黑体"/>
        </w:rPr>
        <w:t>见投标人须知专用部分</w:t>
      </w:r>
      <w:r>
        <w:rPr>
          <w:rFonts w:hint="eastAsia" w:ascii="宋体" w:hAnsi="宋体"/>
        </w:rPr>
        <w:t>。</w:t>
      </w:r>
    </w:p>
    <w:p>
      <w:pPr>
        <w:pStyle w:val="155"/>
        <w:tabs>
          <w:tab w:val="left" w:pos="426"/>
        </w:tabs>
        <w:spacing w:before="120" w:after="120"/>
      </w:pPr>
      <w:bookmarkStart w:id="787" w:name="_Toc117350371"/>
      <w:bookmarkStart w:id="788" w:name="_Toc403059461"/>
      <w:bookmarkStart w:id="789" w:name="_Toc486580005"/>
      <w:bookmarkStart w:id="790" w:name="_Toc393199927"/>
      <w:bookmarkStart w:id="791" w:name="_Toc393199414"/>
      <w:bookmarkStart w:id="792" w:name="_Toc393128272"/>
      <w:bookmarkStart w:id="793" w:name="_Toc490222451"/>
      <w:bookmarkStart w:id="794" w:name="_Toc482197555"/>
      <w:bookmarkStart w:id="795" w:name="_Toc489279818"/>
      <w:bookmarkStart w:id="796" w:name="_Toc403054278"/>
      <w:bookmarkStart w:id="797" w:name="_Toc393200441"/>
      <w:bookmarkStart w:id="798" w:name="_Toc403052518"/>
      <w:bookmarkStart w:id="799" w:name="_Toc179632586"/>
      <w:bookmarkStart w:id="800" w:name="_Toc349730880"/>
      <w:bookmarkStart w:id="801" w:name="_Toc342296201"/>
      <w:bookmarkStart w:id="802" w:name="_Toc338943739"/>
      <w:bookmarkStart w:id="803" w:name="_Toc342294753"/>
      <w:bookmarkStart w:id="804" w:name="_Toc144974536"/>
      <w:bookmarkStart w:id="805" w:name="_Toc429569139"/>
      <w:bookmarkStart w:id="806" w:name="_Toc152042344"/>
      <w:bookmarkStart w:id="807" w:name="_Toc338944644"/>
      <w:bookmarkStart w:id="808" w:name="_Toc333600722"/>
      <w:bookmarkStart w:id="809" w:name="_Toc333599698"/>
      <w:bookmarkStart w:id="810" w:name="_Toc152045568"/>
      <w:bookmarkStart w:id="811" w:name="_Toc333587892"/>
      <w:r>
        <w:t xml:space="preserve">7.2  </w:t>
      </w:r>
      <w:r>
        <w:rPr>
          <w:rFonts w:hint="eastAsia"/>
        </w:rPr>
        <w:t>中标候选人公示</w:t>
      </w:r>
      <w:bookmarkEnd w:id="787"/>
      <w:bookmarkEnd w:id="788"/>
      <w:bookmarkEnd w:id="789"/>
      <w:bookmarkEnd w:id="790"/>
      <w:bookmarkEnd w:id="791"/>
      <w:bookmarkEnd w:id="792"/>
      <w:bookmarkEnd w:id="793"/>
      <w:bookmarkEnd w:id="794"/>
      <w:bookmarkEnd w:id="795"/>
      <w:bookmarkEnd w:id="796"/>
      <w:bookmarkEnd w:id="797"/>
      <w:bookmarkEnd w:id="798"/>
    </w:p>
    <w:p>
      <w:pPr>
        <w:spacing w:line="360" w:lineRule="auto"/>
        <w:ind w:firstLine="420" w:firstLineChars="200"/>
        <w:rPr>
          <w:rFonts w:ascii="宋体" w:hAnsi="宋体"/>
          <w:szCs w:val="21"/>
        </w:rPr>
      </w:pPr>
      <w:bookmarkStart w:id="812" w:name="_Hlk114647452"/>
      <w:bookmarkStart w:id="813" w:name="_Hlk114647568"/>
      <w:bookmarkStart w:id="814" w:name="_Hlk114066805"/>
      <w:r>
        <w:rPr>
          <w:rFonts w:hint="eastAsia" w:ascii="宋体" w:hAnsi="宋体"/>
          <w:szCs w:val="21"/>
        </w:rPr>
        <w:t>依法必须进行招标的项目，除依法需要保密或者涉及商业秘密、</w:t>
      </w:r>
      <w:r>
        <w:rPr>
          <w:rFonts w:hint="eastAsia"/>
        </w:rPr>
        <w:t>个人隐私信息的商务信息（含资格预审阶段）</w:t>
      </w:r>
      <w:r>
        <w:rPr>
          <w:rFonts w:hint="eastAsia" w:ascii="宋体" w:hAnsi="宋体"/>
          <w:szCs w:val="21"/>
        </w:rPr>
        <w:t>的内容外，</w:t>
      </w:r>
      <w:bookmarkEnd w:id="812"/>
      <w:r>
        <w:rPr>
          <w:rFonts w:hint="eastAsia" w:ascii="宋体" w:hAnsi="宋体"/>
          <w:szCs w:val="21"/>
        </w:rPr>
        <w:t>在中标通知书发出前，招标人将</w:t>
      </w:r>
      <w:bookmarkStart w:id="815" w:name="_Hlk114647466"/>
      <w:r>
        <w:rPr>
          <w:rFonts w:hint="eastAsia" w:ascii="宋体" w:hAnsi="宋体"/>
          <w:szCs w:val="21"/>
        </w:rPr>
        <w:t>下列信息</w:t>
      </w:r>
      <w:bookmarkEnd w:id="815"/>
      <w:r>
        <w:rPr>
          <w:rFonts w:hint="eastAsia" w:ascii="宋体" w:hAnsi="宋体"/>
          <w:szCs w:val="21"/>
        </w:rPr>
        <w:t>在本工程招标公</w:t>
      </w:r>
      <w:bookmarkEnd w:id="813"/>
      <w:r>
        <w:rPr>
          <w:rFonts w:hint="eastAsia" w:ascii="宋体" w:hAnsi="宋体"/>
          <w:szCs w:val="21"/>
        </w:rPr>
        <w:t>告发布的同一媒介以</w:t>
      </w:r>
      <w:bookmarkStart w:id="816" w:name="_Hlk114647621"/>
      <w:r>
        <w:rPr>
          <w:rFonts w:hint="eastAsia" w:ascii="宋体" w:hAnsi="宋体"/>
          <w:szCs w:val="21"/>
        </w:rPr>
        <w:t>附件形式</w:t>
      </w:r>
      <w:bookmarkEnd w:id="816"/>
      <w:r>
        <w:rPr>
          <w:rFonts w:hint="eastAsia" w:ascii="宋体" w:hAnsi="宋体"/>
          <w:szCs w:val="21"/>
        </w:rPr>
        <w:t>予以公示，公示期不少于3日（截止日应当为工作日）。</w:t>
      </w:r>
    </w:p>
    <w:p>
      <w:pPr>
        <w:spacing w:line="360" w:lineRule="auto"/>
        <w:ind w:firstLine="420" w:firstLineChars="200"/>
        <w:rPr>
          <w:rFonts w:ascii="宋体" w:hAnsi="宋体"/>
          <w:szCs w:val="21"/>
        </w:rPr>
      </w:pPr>
      <w:bookmarkStart w:id="817" w:name="_Hlk114647640"/>
      <w:r>
        <w:rPr>
          <w:rFonts w:hint="eastAsia" w:ascii="宋体" w:hAnsi="宋体"/>
          <w:szCs w:val="21"/>
        </w:rPr>
        <w:t>（1）中标候选人排序、名称、投标报价、质量、工期以及评标情况；</w:t>
      </w:r>
    </w:p>
    <w:p>
      <w:pPr>
        <w:spacing w:line="360" w:lineRule="auto"/>
        <w:ind w:firstLine="420" w:firstLineChars="200"/>
        <w:rPr>
          <w:rFonts w:ascii="宋体" w:hAnsi="宋体"/>
          <w:szCs w:val="21"/>
        </w:rPr>
      </w:pPr>
      <w:r>
        <w:rPr>
          <w:rFonts w:hint="eastAsia" w:ascii="宋体" w:hAnsi="宋体"/>
          <w:szCs w:val="21"/>
        </w:rPr>
        <w:t>（2）中标候选人按照招标文件要求承诺的拟派的注册建造师（项目经理）姓名及其相关证书名称和编号；</w:t>
      </w:r>
    </w:p>
    <w:p>
      <w:pPr>
        <w:spacing w:line="360" w:lineRule="auto"/>
        <w:ind w:firstLine="420" w:firstLineChars="200"/>
        <w:rPr>
          <w:rFonts w:ascii="宋体" w:hAnsi="宋体"/>
          <w:szCs w:val="21"/>
        </w:rPr>
      </w:pPr>
      <w:r>
        <w:rPr>
          <w:rFonts w:hint="eastAsia" w:ascii="宋体" w:hAnsi="宋体"/>
          <w:szCs w:val="21"/>
        </w:rPr>
        <w:t>（3）中标候选人响应招标文件要求的资格能力条件；</w:t>
      </w:r>
    </w:p>
    <w:p>
      <w:pPr>
        <w:spacing w:line="360" w:lineRule="auto"/>
        <w:ind w:firstLine="420" w:firstLineChars="200"/>
        <w:rPr>
          <w:rFonts w:ascii="宋体" w:hAnsi="宋体"/>
          <w:szCs w:val="21"/>
        </w:rPr>
      </w:pPr>
      <w:r>
        <w:rPr>
          <w:rFonts w:hint="eastAsia" w:ascii="宋体" w:hAnsi="宋体"/>
          <w:szCs w:val="21"/>
        </w:rPr>
        <w:t>（4）提出异议的渠道和方式；</w:t>
      </w:r>
    </w:p>
    <w:p>
      <w:pPr>
        <w:spacing w:line="360" w:lineRule="auto"/>
        <w:ind w:firstLine="420" w:firstLineChars="200"/>
      </w:pPr>
      <w:r>
        <w:rPr>
          <w:rFonts w:hint="eastAsia" w:ascii="宋体" w:hAnsi="宋体"/>
          <w:szCs w:val="21"/>
        </w:rPr>
        <w:t>（</w:t>
      </w:r>
      <w:r>
        <w:rPr>
          <w:rFonts w:ascii="宋体" w:hAnsi="宋体"/>
          <w:szCs w:val="21"/>
        </w:rPr>
        <w:t>5</w:t>
      </w:r>
      <w:r>
        <w:rPr>
          <w:rFonts w:hint="eastAsia" w:ascii="宋体" w:hAnsi="宋体"/>
          <w:szCs w:val="21"/>
        </w:rPr>
        <w:t>）中标候选人</w:t>
      </w:r>
      <w:r>
        <w:rPr>
          <w:rFonts w:hint="eastAsia"/>
        </w:rPr>
        <w:t>提交的企业类似工程业绩（如有）；</w:t>
      </w:r>
    </w:p>
    <w:p>
      <w:pPr>
        <w:spacing w:line="360" w:lineRule="auto"/>
        <w:ind w:firstLine="420" w:firstLineChars="200"/>
      </w:pPr>
      <w:r>
        <w:rPr>
          <w:rFonts w:hint="eastAsia" w:ascii="宋体" w:hAnsi="宋体"/>
          <w:szCs w:val="21"/>
        </w:rPr>
        <w:t>（</w:t>
      </w:r>
      <w:r>
        <w:rPr>
          <w:rFonts w:ascii="宋体" w:hAnsi="宋体"/>
          <w:szCs w:val="21"/>
        </w:rPr>
        <w:t>6</w:t>
      </w:r>
      <w:r>
        <w:rPr>
          <w:rFonts w:hint="eastAsia" w:ascii="宋体" w:hAnsi="宋体"/>
          <w:szCs w:val="21"/>
        </w:rPr>
        <w:t>）中标候选人</w:t>
      </w:r>
      <w:r>
        <w:rPr>
          <w:rFonts w:hint="eastAsia"/>
        </w:rPr>
        <w:t>提交的“在施或新承接工程”（如有）；</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w:t>
      </w:r>
      <w:r>
        <w:rPr>
          <w:rFonts w:hint="eastAsia"/>
        </w:rPr>
        <w:t>拟派项目负责人和项目技术负责人类似工程业绩、资格、工作年限信息（如有）；</w:t>
      </w:r>
    </w:p>
    <w:p>
      <w:pPr>
        <w:spacing w:line="360" w:lineRule="auto"/>
        <w:ind w:firstLine="420" w:firstLineChars="200"/>
        <w:rPr>
          <w:rFonts w:ascii="宋体" w:hAnsi="宋体"/>
        </w:rPr>
      </w:pPr>
      <w:r>
        <w:rPr>
          <w:rFonts w:hint="eastAsia" w:ascii="宋体" w:hAnsi="宋体"/>
          <w:szCs w:val="21"/>
        </w:rPr>
        <w:t>（</w:t>
      </w:r>
      <w:r>
        <w:rPr>
          <w:rFonts w:ascii="宋体" w:hAnsi="宋体"/>
          <w:szCs w:val="21"/>
        </w:rPr>
        <w:t>8</w:t>
      </w:r>
      <w:r>
        <w:rPr>
          <w:rFonts w:hint="eastAsia" w:ascii="宋体" w:hAnsi="宋体"/>
          <w:szCs w:val="21"/>
        </w:rPr>
        <w:t>）其他内容</w:t>
      </w:r>
      <w:bookmarkStart w:id="818" w:name="_Hlk114647650"/>
      <w:r>
        <w:rPr>
          <w:rFonts w:hint="eastAsia" w:ascii="黑体" w:hAnsi="黑体" w:eastAsia="黑体"/>
        </w:rPr>
        <w:t>见投标人须知专用部分</w:t>
      </w:r>
      <w:r>
        <w:rPr>
          <w:rFonts w:hint="eastAsia" w:ascii="宋体" w:hAnsi="宋体"/>
        </w:rPr>
        <w:t>。</w:t>
      </w:r>
      <w:bookmarkEnd w:id="818"/>
    </w:p>
    <w:p>
      <w:pPr>
        <w:spacing w:line="360" w:lineRule="auto"/>
        <w:ind w:firstLine="420" w:firstLineChars="200"/>
      </w:pPr>
      <w:r>
        <w:rPr>
          <w:rFonts w:hint="eastAsia"/>
        </w:rPr>
        <w:t>上述类似工程业绩内容应包含项目名称、项目建设单位、建设规模、合同金额、开竣（完）工日期、项目负责人姓名。</w:t>
      </w:r>
    </w:p>
    <w:bookmarkEnd w:id="814"/>
    <w:bookmarkEnd w:id="817"/>
    <w:p>
      <w:pPr>
        <w:pStyle w:val="155"/>
        <w:spacing w:before="120" w:after="120"/>
      </w:pPr>
      <w:bookmarkStart w:id="819" w:name="_Toc482197556"/>
      <w:bookmarkStart w:id="820" w:name="_Toc486580006"/>
      <w:bookmarkStart w:id="821" w:name="_Toc117350372"/>
      <w:bookmarkStart w:id="822" w:name="_Toc490222452"/>
      <w:bookmarkStart w:id="823" w:name="_Toc489279819"/>
      <w:r>
        <w:t xml:space="preserve">7.3  </w:t>
      </w:r>
      <w:r>
        <w:rPr>
          <w:rFonts w:hint="eastAsia"/>
        </w:rPr>
        <w:t>中标通知</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9"/>
      <w:bookmarkEnd w:id="820"/>
      <w:bookmarkEnd w:id="821"/>
      <w:bookmarkEnd w:id="822"/>
      <w:bookmarkEnd w:id="823"/>
    </w:p>
    <w:p>
      <w:pPr>
        <w:spacing w:line="360" w:lineRule="auto"/>
        <w:ind w:firstLine="420" w:firstLineChars="200"/>
        <w:rPr>
          <w:rFonts w:ascii="宋体" w:hAnsi="宋体"/>
        </w:rPr>
      </w:pPr>
      <w:r>
        <w:rPr>
          <w:rFonts w:hint="eastAsia" w:ascii="宋体" w:hAnsi="宋体"/>
        </w:rPr>
        <w:t>在本章第</w:t>
      </w:r>
      <w:r>
        <w:rPr>
          <w:rFonts w:ascii="宋体" w:hAnsi="宋体"/>
        </w:rPr>
        <w:t>3.3</w:t>
      </w:r>
      <w:r>
        <w:rPr>
          <w:rFonts w:hint="eastAsia" w:ascii="宋体" w:hAnsi="宋体"/>
        </w:rPr>
        <w:t>款规定的投标有效期内，招标人以书面形式向中标人发出中标通知书，同时将中标结果告知未中标的投标人。</w:t>
      </w:r>
    </w:p>
    <w:p>
      <w:pPr>
        <w:spacing w:line="360" w:lineRule="auto"/>
        <w:ind w:firstLine="420" w:firstLineChars="200"/>
        <w:rPr>
          <w:rFonts w:ascii="宋体" w:hAnsi="宋体" w:cs="Arial"/>
          <w:szCs w:val="21"/>
        </w:rPr>
      </w:pPr>
      <w:r>
        <w:rPr>
          <w:rFonts w:hint="eastAsia" w:ascii="宋体" w:hAnsi="宋体"/>
        </w:rPr>
        <w:t>中标通知书发出前，中标候选人</w:t>
      </w:r>
      <w:r>
        <w:rPr>
          <w:rFonts w:hint="eastAsia" w:ascii="宋体" w:hAnsi="宋体" w:cs="Arial"/>
          <w:szCs w:val="21"/>
        </w:rPr>
        <w:t>被标识为</w:t>
      </w:r>
      <w:r>
        <w:rPr>
          <w:rFonts w:hint="eastAsia" w:ascii="宋体" w:hAnsi="宋体"/>
          <w:szCs w:val="21"/>
        </w:rPr>
        <w:t>“警示”的施工安全风险企业</w:t>
      </w:r>
      <w:r>
        <w:rPr>
          <w:rFonts w:hint="eastAsia" w:ascii="宋体" w:hAnsi="宋体" w:cs="Arial"/>
          <w:szCs w:val="21"/>
        </w:rPr>
        <w:t>，招标人应取消向其发出中标通知书。（适用于对施工安全风险企业采用否决性惩戒的）</w:t>
      </w:r>
    </w:p>
    <w:p>
      <w:pPr>
        <w:spacing w:line="360" w:lineRule="auto"/>
        <w:ind w:firstLine="420" w:firstLineChars="200"/>
        <w:rPr>
          <w:rFonts w:ascii="宋体" w:hAnsi="宋体"/>
        </w:rPr>
      </w:pPr>
      <w:bookmarkStart w:id="824" w:name="_Hlk114066831"/>
      <w:r>
        <w:rPr>
          <w:rFonts w:hint="eastAsia" w:ascii="宋体" w:hAnsi="宋体"/>
          <w:szCs w:val="21"/>
        </w:rPr>
        <w:t>依法必须进行招标的项目，除依法需要保密或者涉及商业秘密的内容外，在中标通知书发出的同时，招标人将中标结果信息在本工程招标公告发布的同一媒介和招标投标交易场所予以公示，中标结果公示应当载明中标人名称。</w:t>
      </w:r>
    </w:p>
    <w:bookmarkEnd w:id="824"/>
    <w:p>
      <w:pPr>
        <w:pStyle w:val="155"/>
        <w:spacing w:before="120" w:after="120"/>
      </w:pPr>
      <w:bookmarkStart w:id="825" w:name="_Toc117350373"/>
      <w:bookmarkStart w:id="826" w:name="_Toc489279820"/>
      <w:bookmarkStart w:id="827" w:name="_Toc429569140"/>
      <w:bookmarkStart w:id="828" w:name="_Toc152042345"/>
      <w:bookmarkStart w:id="829" w:name="_Toc333600723"/>
      <w:bookmarkStart w:id="830" w:name="_Toc490222453"/>
      <w:bookmarkStart w:id="831" w:name="_Toc179632587"/>
      <w:bookmarkStart w:id="832" w:name="_Toc482197557"/>
      <w:bookmarkStart w:id="833" w:name="_Toc349730881"/>
      <w:bookmarkStart w:id="834" w:name="_Toc486580007"/>
      <w:bookmarkStart w:id="835" w:name="_Toc338943740"/>
      <w:bookmarkStart w:id="836" w:name="_Toc338944645"/>
      <w:bookmarkStart w:id="837" w:name="_Toc342296202"/>
      <w:bookmarkStart w:id="838" w:name="_Toc342294754"/>
      <w:bookmarkStart w:id="839" w:name="_Toc144974537"/>
      <w:bookmarkStart w:id="840" w:name="_Toc333599699"/>
      <w:bookmarkStart w:id="841" w:name="_Toc333587893"/>
      <w:bookmarkStart w:id="842" w:name="_Toc152045569"/>
      <w:r>
        <w:t xml:space="preserve">7.4  </w:t>
      </w:r>
      <w:r>
        <w:rPr>
          <w:rFonts w:hint="eastAsia"/>
        </w:rPr>
        <w:t>履约担保</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pPr>
        <w:spacing w:line="360" w:lineRule="auto"/>
        <w:ind w:firstLine="420" w:firstLineChars="200"/>
        <w:rPr>
          <w:rFonts w:ascii="宋体"/>
        </w:rPr>
      </w:pPr>
      <w:r>
        <w:rPr>
          <w:rFonts w:ascii="宋体" w:hAnsi="宋体"/>
        </w:rPr>
        <w:t xml:space="preserve">7.4.1  </w:t>
      </w:r>
      <w:r>
        <w:rPr>
          <w:rFonts w:hint="eastAsia" w:ascii="宋体" w:hAnsi="宋体"/>
        </w:rPr>
        <w:t>本次招标要求中标人提供履约担保的，在签订合同前，中标人应按规定的金额、担保形式和招标文件第四章“合同条款”规定的履约担保格式向招标人提交履约担保。联合体中标的，其履约担保由牵头人递交，并应符合规定的金额、担保形式和招标文件第四章“合同条款”规定的履约担保格式要求。是否要求</w:t>
      </w:r>
      <w:r>
        <w:rPr>
          <w:rFonts w:hint="eastAsia" w:ascii="宋体" w:hAnsi="宋体" w:cs="Arial"/>
          <w:szCs w:val="21"/>
        </w:rPr>
        <w:t>中标人提供履约担保及履约担保的形式和金额</w:t>
      </w:r>
      <w:r>
        <w:rPr>
          <w:rFonts w:hint="eastAsia" w:ascii="黑体" w:hAnsi="黑体" w:eastAsia="黑体"/>
        </w:rPr>
        <w:t>见投标人须知专用部分</w:t>
      </w:r>
      <w:r>
        <w:rPr>
          <w:rFonts w:hint="eastAsia" w:ascii="宋体" w:hAnsi="宋体"/>
        </w:rPr>
        <w:t>。</w:t>
      </w:r>
    </w:p>
    <w:p>
      <w:pPr>
        <w:spacing w:line="360" w:lineRule="auto"/>
        <w:ind w:firstLine="420" w:firstLineChars="200"/>
        <w:rPr>
          <w:rFonts w:ascii="宋体"/>
        </w:rPr>
      </w:pPr>
      <w:r>
        <w:rPr>
          <w:rFonts w:ascii="宋体" w:hAnsi="宋体"/>
        </w:rPr>
        <w:t xml:space="preserve">7.4.2  </w:t>
      </w:r>
      <w:r>
        <w:rPr>
          <w:rFonts w:hint="eastAsia" w:ascii="宋体" w:hAnsi="宋体"/>
        </w:rPr>
        <w:t>中标人不能按本章第</w:t>
      </w:r>
      <w:r>
        <w:rPr>
          <w:rFonts w:ascii="宋体" w:hAnsi="宋体"/>
        </w:rPr>
        <w:t>7.4.1</w:t>
      </w:r>
      <w:r>
        <w:rPr>
          <w:rFonts w:hint="eastAsia" w:ascii="宋体" w:hAnsi="宋体"/>
        </w:rPr>
        <w:t>项要求提交履约担保的，视为放弃中标，其投标保证金不予退还，给招标人造成的损失超过投标保证金数额的，中标人还应当对超过部分予以赔偿。</w:t>
      </w:r>
    </w:p>
    <w:p>
      <w:pPr>
        <w:pStyle w:val="155"/>
        <w:spacing w:before="120" w:after="120"/>
      </w:pPr>
      <w:bookmarkStart w:id="843" w:name="_Toc117350374"/>
      <w:bookmarkStart w:id="844" w:name="_Toc333600724"/>
      <w:bookmarkStart w:id="845" w:name="_Toc490222454"/>
      <w:bookmarkStart w:id="846" w:name="_Toc482197558"/>
      <w:bookmarkStart w:id="847" w:name="_Toc333587894"/>
      <w:bookmarkStart w:id="848" w:name="_Toc152042346"/>
      <w:bookmarkStart w:id="849" w:name="_Toc342296203"/>
      <w:bookmarkStart w:id="850" w:name="_Toc489279821"/>
      <w:bookmarkStart w:id="851" w:name="_Toc338943741"/>
      <w:bookmarkStart w:id="852" w:name="_Toc338944646"/>
      <w:bookmarkStart w:id="853" w:name="_Toc486580008"/>
      <w:bookmarkStart w:id="854" w:name="_Toc152045570"/>
      <w:bookmarkStart w:id="855" w:name="_Toc349730882"/>
      <w:bookmarkStart w:id="856" w:name="_Toc144974538"/>
      <w:bookmarkStart w:id="857" w:name="_Toc179632588"/>
      <w:bookmarkStart w:id="858" w:name="_Toc333599700"/>
      <w:bookmarkStart w:id="859" w:name="_Toc429569141"/>
      <w:bookmarkStart w:id="860" w:name="_Toc342294755"/>
      <w:r>
        <w:t xml:space="preserve">7.5  </w:t>
      </w:r>
      <w:r>
        <w:rPr>
          <w:rFonts w:hint="eastAsia"/>
        </w:rPr>
        <w:t>签订合同</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pPr>
        <w:spacing w:line="360" w:lineRule="auto"/>
        <w:ind w:firstLine="420" w:firstLineChars="200"/>
        <w:rPr>
          <w:rFonts w:ascii="宋体"/>
        </w:rPr>
      </w:pPr>
      <w:r>
        <w:rPr>
          <w:rFonts w:ascii="宋体" w:hAnsi="宋体"/>
        </w:rPr>
        <w:t xml:space="preserve">7.5.1  </w:t>
      </w:r>
      <w:r>
        <w:rPr>
          <w:rFonts w:hint="eastAsia" w:ascii="宋体" w:hAnsi="宋体"/>
        </w:rPr>
        <w:t>招标人和中标人应当自中标通知书发出之日起</w:t>
      </w:r>
      <w:r>
        <w:rPr>
          <w:rFonts w:ascii="宋体" w:hAnsi="宋体"/>
        </w:rPr>
        <w:t>30</w:t>
      </w:r>
      <w:r>
        <w:rPr>
          <w:rFonts w:hint="eastAsia" w:ascii="宋体" w:hAnsi="宋体"/>
        </w:rPr>
        <w:t>天内，根据招标文件和中标人的投标文件订立书面合同。</w:t>
      </w:r>
    </w:p>
    <w:p>
      <w:pPr>
        <w:spacing w:line="360" w:lineRule="auto"/>
        <w:ind w:firstLine="420" w:firstLineChars="200"/>
        <w:rPr>
          <w:rFonts w:ascii="宋体"/>
        </w:rPr>
      </w:pPr>
      <w:r>
        <w:rPr>
          <w:rFonts w:ascii="宋体" w:hAnsi="宋体"/>
        </w:rPr>
        <w:t xml:space="preserve">7.5.2  </w:t>
      </w:r>
      <w:r>
        <w:rPr>
          <w:rFonts w:hint="eastAsia" w:ascii="宋体" w:hAnsi="宋体"/>
        </w:rPr>
        <w:t>发出中标通知书后，中标人无正当理由拒签合同的，招标人取消其中标资格，其投标保证金不予退还；给招标人造成的损失超过投标保证金数额的，中标人还应当对超过部分予以赔偿。</w:t>
      </w:r>
    </w:p>
    <w:p>
      <w:pPr>
        <w:spacing w:line="360" w:lineRule="auto"/>
        <w:ind w:firstLine="420" w:firstLineChars="200"/>
        <w:rPr>
          <w:rFonts w:ascii="宋体"/>
        </w:rPr>
      </w:pPr>
      <w:r>
        <w:rPr>
          <w:rFonts w:ascii="宋体" w:hAnsi="宋体"/>
        </w:rPr>
        <w:t xml:space="preserve">7.5.3  </w:t>
      </w:r>
      <w:r>
        <w:rPr>
          <w:rFonts w:hint="eastAsia" w:ascii="宋体" w:hAnsi="宋体"/>
        </w:rPr>
        <w:t>发出中标通知书后，招标人无正当理由拒签合同的，招标人向中标人退还投标保证金；给中标人造成损失的，还应当赔偿损失。</w:t>
      </w:r>
    </w:p>
    <w:p>
      <w:pPr>
        <w:pStyle w:val="144"/>
        <w:spacing w:before="120" w:after="120"/>
      </w:pPr>
      <w:bookmarkStart w:id="861" w:name="_Toc117350375"/>
      <w:bookmarkStart w:id="862" w:name="_Toc338944647"/>
      <w:bookmarkStart w:id="863" w:name="_Toc349730883"/>
      <w:bookmarkStart w:id="864" w:name="_Toc482197559"/>
      <w:bookmarkStart w:id="865" w:name="_Toc429569142"/>
      <w:bookmarkStart w:id="866" w:name="_Toc342296204"/>
      <w:bookmarkStart w:id="867" w:name="_Toc490222455"/>
      <w:bookmarkStart w:id="868" w:name="_Toc179632589"/>
      <w:bookmarkStart w:id="869" w:name="_Toc333600725"/>
      <w:bookmarkStart w:id="870" w:name="_Toc144974539"/>
      <w:bookmarkStart w:id="871" w:name="_Toc489279822"/>
      <w:bookmarkStart w:id="872" w:name="_Toc342294756"/>
      <w:bookmarkStart w:id="873" w:name="_Toc333599701"/>
      <w:bookmarkStart w:id="874" w:name="_Toc152045571"/>
      <w:bookmarkStart w:id="875" w:name="_Toc338943742"/>
      <w:bookmarkStart w:id="876" w:name="_Toc486580009"/>
      <w:bookmarkStart w:id="877" w:name="_Toc152042347"/>
      <w:r>
        <w:t>8.</w:t>
      </w:r>
      <w:r>
        <w:rPr>
          <w:rFonts w:hint="eastAsia"/>
        </w:rPr>
        <w:t>重新招标和不再招标</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pPr>
        <w:pStyle w:val="155"/>
        <w:spacing w:before="120" w:after="120"/>
      </w:pPr>
      <w:bookmarkStart w:id="878" w:name="_Toc117350376"/>
      <w:bookmarkStart w:id="879" w:name="_Toc489279823"/>
      <w:bookmarkStart w:id="880" w:name="_Toc144974540"/>
      <w:bookmarkStart w:id="881" w:name="_Toc333599702"/>
      <w:bookmarkStart w:id="882" w:name="_Toc486580010"/>
      <w:bookmarkStart w:id="883" w:name="_Toc342294757"/>
      <w:bookmarkStart w:id="884" w:name="_Toc349730884"/>
      <w:bookmarkStart w:id="885" w:name="_Toc342296205"/>
      <w:bookmarkStart w:id="886" w:name="_Toc338943743"/>
      <w:bookmarkStart w:id="887" w:name="_Toc179632590"/>
      <w:bookmarkStart w:id="888" w:name="_Toc338944648"/>
      <w:bookmarkStart w:id="889" w:name="_Toc490222456"/>
      <w:bookmarkStart w:id="890" w:name="_Toc152042348"/>
      <w:bookmarkStart w:id="891" w:name="_Toc152045572"/>
      <w:bookmarkStart w:id="892" w:name="_Toc333600726"/>
      <w:bookmarkStart w:id="893" w:name="_Toc333587896"/>
      <w:bookmarkStart w:id="894" w:name="_Toc482197560"/>
      <w:bookmarkStart w:id="895" w:name="_Toc429569143"/>
      <w:r>
        <w:t xml:space="preserve">8.1  </w:t>
      </w:r>
      <w:r>
        <w:rPr>
          <w:rFonts w:hint="eastAsia"/>
        </w:rPr>
        <w:t>重新招标</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pPr>
        <w:spacing w:line="360" w:lineRule="auto"/>
        <w:ind w:firstLine="420" w:firstLineChars="200"/>
        <w:rPr>
          <w:rFonts w:ascii="宋体"/>
        </w:rPr>
      </w:pPr>
      <w:r>
        <w:rPr>
          <w:rFonts w:hint="eastAsia" w:ascii="宋体" w:hAnsi="宋体"/>
        </w:rPr>
        <w:t>有下列情形之一的，招标人将重新招标：</w:t>
      </w:r>
    </w:p>
    <w:p>
      <w:pPr>
        <w:spacing w:line="360" w:lineRule="auto"/>
        <w:ind w:firstLine="359" w:firstLineChars="171"/>
        <w:rPr>
          <w:rFonts w:ascii="宋体"/>
        </w:rPr>
      </w:pPr>
      <w:r>
        <w:rPr>
          <w:rFonts w:hint="eastAsia" w:ascii="宋体" w:hAnsi="宋体"/>
        </w:rPr>
        <w:t>（</w:t>
      </w:r>
      <w:r>
        <w:rPr>
          <w:rFonts w:ascii="宋体" w:hAnsi="宋体"/>
        </w:rPr>
        <w:t>1</w:t>
      </w:r>
      <w:r>
        <w:rPr>
          <w:rFonts w:hint="eastAsia" w:ascii="宋体" w:hAnsi="宋体"/>
        </w:rPr>
        <w:t>）投标截止时间止，投标人少于</w:t>
      </w:r>
      <w:r>
        <w:rPr>
          <w:rFonts w:ascii="宋体" w:hAnsi="宋体"/>
        </w:rPr>
        <w:t>3</w:t>
      </w:r>
      <w:r>
        <w:rPr>
          <w:rFonts w:hint="eastAsia" w:ascii="宋体" w:hAnsi="宋体"/>
        </w:rPr>
        <w:t>个的；</w:t>
      </w:r>
    </w:p>
    <w:p>
      <w:pPr>
        <w:spacing w:line="360" w:lineRule="auto"/>
        <w:ind w:firstLine="359" w:firstLineChars="171"/>
        <w:rPr>
          <w:rFonts w:ascii="宋体"/>
        </w:rPr>
      </w:pPr>
      <w:r>
        <w:rPr>
          <w:rFonts w:hint="eastAsia" w:ascii="宋体" w:hAnsi="宋体"/>
        </w:rPr>
        <w:t>（</w:t>
      </w:r>
      <w:r>
        <w:rPr>
          <w:rFonts w:ascii="宋体" w:hAnsi="宋体"/>
        </w:rPr>
        <w:t>2</w:t>
      </w:r>
      <w:r>
        <w:rPr>
          <w:rFonts w:hint="eastAsia" w:ascii="宋体" w:hAnsi="宋体"/>
        </w:rPr>
        <w:t>）经评标委员会评审后否决所有投标的；</w:t>
      </w:r>
    </w:p>
    <w:p>
      <w:pPr>
        <w:spacing w:line="360" w:lineRule="auto"/>
        <w:ind w:firstLine="359" w:firstLineChars="171"/>
        <w:rPr>
          <w:rFonts w:ascii="宋体"/>
        </w:rPr>
      </w:pPr>
      <w:r>
        <w:rPr>
          <w:rFonts w:hint="eastAsia" w:ascii="宋体" w:hAnsi="宋体"/>
        </w:rPr>
        <w:t>（</w:t>
      </w:r>
      <w:r>
        <w:rPr>
          <w:rFonts w:ascii="宋体" w:hAnsi="宋体"/>
        </w:rPr>
        <w:t>3</w:t>
      </w:r>
      <w:r>
        <w:rPr>
          <w:rFonts w:hint="eastAsia" w:ascii="宋体" w:hAnsi="宋体"/>
        </w:rPr>
        <w:t>）除非已经产生中标候选人，在投标有效期内同意延长投标有效期的投标人少于三个的，招标人应当依法重新招标；</w:t>
      </w:r>
    </w:p>
    <w:p>
      <w:pPr>
        <w:spacing w:line="360" w:lineRule="auto"/>
        <w:ind w:firstLine="359" w:firstLineChars="171"/>
        <w:rPr>
          <w:rFonts w:ascii="宋体"/>
        </w:rPr>
      </w:pPr>
      <w:r>
        <w:rPr>
          <w:rFonts w:hint="eastAsia" w:ascii="宋体" w:hAnsi="宋体"/>
        </w:rPr>
        <w:t>（</w:t>
      </w:r>
      <w:r>
        <w:rPr>
          <w:rFonts w:ascii="宋体" w:hAnsi="宋体"/>
        </w:rPr>
        <w:t>4</w:t>
      </w:r>
      <w:r>
        <w:rPr>
          <w:rFonts w:hint="eastAsia" w:ascii="宋体" w:hAnsi="宋体"/>
        </w:rPr>
        <w:t>）其他情形</w:t>
      </w:r>
      <w:r>
        <w:rPr>
          <w:rFonts w:hint="eastAsia" w:ascii="黑体" w:hAnsi="黑体" w:eastAsia="黑体"/>
        </w:rPr>
        <w:t>见投标人须知专用部分</w:t>
      </w:r>
      <w:r>
        <w:rPr>
          <w:rFonts w:hint="eastAsia" w:ascii="宋体" w:hAnsi="宋体"/>
        </w:rPr>
        <w:t>。</w:t>
      </w:r>
    </w:p>
    <w:p>
      <w:pPr>
        <w:pStyle w:val="155"/>
        <w:spacing w:before="120" w:after="120"/>
      </w:pPr>
      <w:bookmarkStart w:id="896" w:name="_Toc333587897"/>
      <w:bookmarkStart w:id="897" w:name="_Toc152045573"/>
      <w:bookmarkStart w:id="898" w:name="_Toc338944649"/>
      <w:bookmarkStart w:id="899" w:name="_Toc342296206"/>
      <w:bookmarkStart w:id="900" w:name="_Toc144974541"/>
      <w:bookmarkStart w:id="901" w:name="_Toc333599703"/>
      <w:bookmarkStart w:id="902" w:name="_Toc429569144"/>
      <w:bookmarkStart w:id="903" w:name="_Toc117350377"/>
      <w:bookmarkStart w:id="904" w:name="_Toc338943744"/>
      <w:bookmarkStart w:id="905" w:name="_Toc179632591"/>
      <w:bookmarkStart w:id="906" w:name="_Toc152042349"/>
      <w:bookmarkStart w:id="907" w:name="_Toc490222457"/>
      <w:bookmarkStart w:id="908" w:name="_Toc333600727"/>
      <w:bookmarkStart w:id="909" w:name="_Toc489279824"/>
      <w:bookmarkStart w:id="910" w:name="_Toc349730885"/>
      <w:bookmarkStart w:id="911" w:name="_Toc342294758"/>
      <w:bookmarkStart w:id="912" w:name="_Toc486580011"/>
      <w:bookmarkStart w:id="913" w:name="_Toc482197561"/>
      <w:r>
        <w:t xml:space="preserve">8.2  </w:t>
      </w:r>
      <w:r>
        <w:rPr>
          <w:rFonts w:hint="eastAsia"/>
        </w:rPr>
        <w:t>不再招标</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pPr>
        <w:spacing w:line="360" w:lineRule="auto"/>
        <w:ind w:firstLine="420" w:firstLineChars="200"/>
        <w:rPr>
          <w:rFonts w:ascii="宋体"/>
        </w:rPr>
      </w:pPr>
      <w:r>
        <w:rPr>
          <w:rFonts w:hint="eastAsia" w:ascii="宋体" w:hAnsi="宋体"/>
        </w:rPr>
        <w:t>重新招标后投标人仍少于</w:t>
      </w:r>
      <w:r>
        <w:rPr>
          <w:rFonts w:ascii="宋体" w:hAnsi="宋体"/>
        </w:rPr>
        <w:t>3</w:t>
      </w:r>
      <w:r>
        <w:rPr>
          <w:rFonts w:hint="eastAsia" w:ascii="宋体" w:hAnsi="宋体"/>
        </w:rPr>
        <w:t>个或者所有投标被否决的，属于必须审批或核准的工程建设项目，经原审批或核准部门批准后不再进行招标。</w:t>
      </w:r>
    </w:p>
    <w:p>
      <w:pPr>
        <w:pStyle w:val="144"/>
        <w:spacing w:before="120" w:after="120"/>
      </w:pPr>
      <w:bookmarkStart w:id="914" w:name="_Toc333600728"/>
      <w:bookmarkStart w:id="915" w:name="_Toc342296207"/>
      <w:bookmarkStart w:id="916" w:name="_Toc338943745"/>
      <w:bookmarkStart w:id="917" w:name="_Toc117350378"/>
      <w:bookmarkStart w:id="918" w:name="_Toc490222458"/>
      <w:bookmarkStart w:id="919" w:name="_Toc152045574"/>
      <w:bookmarkStart w:id="920" w:name="_Toc482197562"/>
      <w:bookmarkStart w:id="921" w:name="_Toc489279825"/>
      <w:bookmarkStart w:id="922" w:name="_Toc144974542"/>
      <w:bookmarkStart w:id="923" w:name="_Toc349730886"/>
      <w:bookmarkStart w:id="924" w:name="_Toc429569145"/>
      <w:bookmarkStart w:id="925" w:name="_Toc342294759"/>
      <w:bookmarkStart w:id="926" w:name="_Toc338944650"/>
      <w:bookmarkStart w:id="927" w:name="_Toc333599704"/>
      <w:bookmarkStart w:id="928" w:name="_Toc179632592"/>
      <w:bookmarkStart w:id="929" w:name="_Toc152042350"/>
      <w:bookmarkStart w:id="930" w:name="_Toc486580012"/>
      <w:r>
        <w:t>9.</w:t>
      </w:r>
      <w:r>
        <w:rPr>
          <w:rFonts w:hint="eastAsia"/>
        </w:rPr>
        <w:t>纪律和监督</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pStyle w:val="155"/>
        <w:spacing w:before="120" w:after="120"/>
      </w:pPr>
      <w:bookmarkStart w:id="931" w:name="_Toc486580013"/>
      <w:bookmarkStart w:id="932" w:name="_Toc152045575"/>
      <w:bookmarkStart w:id="933" w:name="_Toc342294760"/>
      <w:bookmarkStart w:id="934" w:name="_Toc117350379"/>
      <w:bookmarkStart w:id="935" w:name="_Toc482197563"/>
      <w:bookmarkStart w:id="936" w:name="_Toc333587899"/>
      <w:bookmarkStart w:id="937" w:name="_Toc338943746"/>
      <w:bookmarkStart w:id="938" w:name="_Toc179632593"/>
      <w:bookmarkStart w:id="939" w:name="_Toc349730887"/>
      <w:bookmarkStart w:id="940" w:name="_Toc342296208"/>
      <w:bookmarkStart w:id="941" w:name="_Toc490222459"/>
      <w:bookmarkStart w:id="942" w:name="_Toc489279826"/>
      <w:bookmarkStart w:id="943" w:name="_Toc338944651"/>
      <w:bookmarkStart w:id="944" w:name="_Toc333599705"/>
      <w:bookmarkStart w:id="945" w:name="_Toc333600729"/>
      <w:bookmarkStart w:id="946" w:name="_Toc429569146"/>
      <w:bookmarkStart w:id="947" w:name="_Toc152042351"/>
      <w:bookmarkStart w:id="948" w:name="_Toc144974543"/>
      <w:r>
        <w:t xml:space="preserve">9.1  </w:t>
      </w:r>
      <w:r>
        <w:rPr>
          <w:rFonts w:hint="eastAsia"/>
        </w:rPr>
        <w:t>对招标人的纪律要求</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pPr>
        <w:spacing w:line="360" w:lineRule="auto"/>
        <w:ind w:firstLine="420" w:firstLineChars="200"/>
        <w:rPr>
          <w:rFonts w:ascii="宋体"/>
        </w:rPr>
      </w:pPr>
      <w:r>
        <w:rPr>
          <w:rFonts w:hint="eastAsia" w:ascii="宋体" w:hAnsi="宋体"/>
        </w:rPr>
        <w:t>招标人不得泄漏招标投标活动中应当保密的情况和资料，不得与投标人串通损害国家利益、社会公共利益或者他人合法权益。</w:t>
      </w:r>
    </w:p>
    <w:p>
      <w:pPr>
        <w:pStyle w:val="155"/>
        <w:spacing w:before="120" w:after="120"/>
      </w:pPr>
      <w:bookmarkStart w:id="949" w:name="_Toc144974544"/>
      <w:bookmarkStart w:id="950" w:name="_Toc117350380"/>
      <w:bookmarkStart w:id="951" w:name="_Toc486580014"/>
      <w:bookmarkStart w:id="952" w:name="_Toc429569147"/>
      <w:bookmarkStart w:id="953" w:name="_Toc333587900"/>
      <w:bookmarkStart w:id="954" w:name="_Toc333599706"/>
      <w:bookmarkStart w:id="955" w:name="_Toc342296209"/>
      <w:bookmarkStart w:id="956" w:name="_Toc338943747"/>
      <w:bookmarkStart w:id="957" w:name="_Toc152042352"/>
      <w:bookmarkStart w:id="958" w:name="_Toc490222460"/>
      <w:bookmarkStart w:id="959" w:name="_Toc349730888"/>
      <w:bookmarkStart w:id="960" w:name="_Toc333600730"/>
      <w:bookmarkStart w:id="961" w:name="_Toc482197564"/>
      <w:bookmarkStart w:id="962" w:name="_Toc342294761"/>
      <w:bookmarkStart w:id="963" w:name="_Toc489279827"/>
      <w:bookmarkStart w:id="964" w:name="_Toc179632594"/>
      <w:bookmarkStart w:id="965" w:name="_Toc338944652"/>
      <w:bookmarkStart w:id="966" w:name="_Toc152045576"/>
      <w:r>
        <w:t xml:space="preserve">9.2  </w:t>
      </w:r>
      <w:r>
        <w:rPr>
          <w:rFonts w:hint="eastAsia"/>
        </w:rPr>
        <w:t>对投标人的纪律要求</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pPr>
        <w:spacing w:line="360" w:lineRule="auto"/>
        <w:ind w:firstLine="420" w:firstLineChars="200"/>
        <w:rPr>
          <w:rFonts w:ascii="宋体"/>
        </w:rPr>
      </w:pPr>
      <w:r>
        <w:rPr>
          <w:rFonts w:hint="eastAsia" w:ascii="宋体" w:hAnsi="宋体"/>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155"/>
        <w:spacing w:before="120" w:after="120"/>
      </w:pPr>
      <w:bookmarkStart w:id="967" w:name="_Toc179632595"/>
      <w:bookmarkStart w:id="968" w:name="_Toc490222461"/>
      <w:bookmarkStart w:id="969" w:name="_Toc482197565"/>
      <w:bookmarkStart w:id="970" w:name="_Toc342296210"/>
      <w:bookmarkStart w:id="971" w:name="_Toc152042353"/>
      <w:bookmarkStart w:id="972" w:name="_Toc333600731"/>
      <w:bookmarkStart w:id="973" w:name="_Toc117350381"/>
      <w:bookmarkStart w:id="974" w:name="_Toc349730889"/>
      <w:bookmarkStart w:id="975" w:name="_Toc489279828"/>
      <w:bookmarkStart w:id="976" w:name="_Toc429569148"/>
      <w:bookmarkStart w:id="977" w:name="_Toc342294762"/>
      <w:bookmarkStart w:id="978" w:name="_Toc333587901"/>
      <w:bookmarkStart w:id="979" w:name="_Toc333599707"/>
      <w:bookmarkStart w:id="980" w:name="_Toc338943748"/>
      <w:bookmarkStart w:id="981" w:name="_Toc144974545"/>
      <w:bookmarkStart w:id="982" w:name="_Toc486580015"/>
      <w:bookmarkStart w:id="983" w:name="_Toc152045577"/>
      <w:bookmarkStart w:id="984" w:name="_Toc338944653"/>
      <w:r>
        <w:t xml:space="preserve">9.3  </w:t>
      </w:r>
      <w:r>
        <w:rPr>
          <w:rFonts w:hint="eastAsia"/>
        </w:rPr>
        <w:t>对评标委员会成员的纪律要求</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pPr>
        <w:spacing w:line="360" w:lineRule="auto"/>
        <w:ind w:firstLine="420" w:firstLineChars="200"/>
        <w:rPr>
          <w:rFonts w:ascii="宋体"/>
        </w:rPr>
      </w:pPr>
      <w:r>
        <w:rPr>
          <w:rFonts w:hint="eastAsia" w:ascii="宋体" w:hAnsi="宋体"/>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155"/>
        <w:spacing w:before="120" w:after="120"/>
      </w:pPr>
      <w:bookmarkStart w:id="985" w:name="_Toc486580016"/>
      <w:bookmarkStart w:id="986" w:name="_Toc338944654"/>
      <w:bookmarkStart w:id="987" w:name="_Toc482197566"/>
      <w:bookmarkStart w:id="988" w:name="_Toc338943749"/>
      <w:bookmarkStart w:id="989" w:name="_Toc342296211"/>
      <w:bookmarkStart w:id="990" w:name="_Toc117350382"/>
      <w:bookmarkStart w:id="991" w:name="_Toc490222462"/>
      <w:bookmarkStart w:id="992" w:name="_Toc333599708"/>
      <w:bookmarkStart w:id="993" w:name="_Toc152045578"/>
      <w:bookmarkStart w:id="994" w:name="_Toc429569149"/>
      <w:bookmarkStart w:id="995" w:name="_Toc152042354"/>
      <w:bookmarkStart w:id="996" w:name="_Toc333600732"/>
      <w:bookmarkStart w:id="997" w:name="_Toc349730890"/>
      <w:bookmarkStart w:id="998" w:name="_Toc333587902"/>
      <w:bookmarkStart w:id="999" w:name="_Toc342294763"/>
      <w:bookmarkStart w:id="1000" w:name="_Toc489279829"/>
      <w:bookmarkStart w:id="1001" w:name="_Toc179632596"/>
      <w:bookmarkStart w:id="1002" w:name="_Toc144974546"/>
      <w:r>
        <w:t xml:space="preserve">9.4  </w:t>
      </w:r>
      <w:r>
        <w:rPr>
          <w:rFonts w:hint="eastAsia"/>
        </w:rPr>
        <w:t>对与评标活动有关的工作人员的纪律要求</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pPr>
        <w:spacing w:line="360" w:lineRule="auto"/>
        <w:ind w:firstLine="420" w:firstLineChars="200"/>
        <w:rPr>
          <w:rFonts w:ascii="宋体"/>
        </w:rPr>
      </w:pPr>
      <w:bookmarkStart w:id="1003" w:name="_Toc152042355"/>
      <w:r>
        <w:rPr>
          <w:rFonts w:hint="eastAsia" w:ascii="宋体" w:hAnsi="宋体"/>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1003"/>
    </w:p>
    <w:p>
      <w:pPr>
        <w:pStyle w:val="155"/>
        <w:spacing w:before="120" w:after="120"/>
      </w:pPr>
      <w:bookmarkStart w:id="1004" w:name="_Toc490222463"/>
      <w:bookmarkStart w:id="1005" w:name="_Toc489279830"/>
      <w:bookmarkStart w:id="1006" w:name="_Toc482197567"/>
      <w:bookmarkStart w:id="1007" w:name="_Toc486580017"/>
      <w:bookmarkStart w:id="1008" w:name="_Toc117350383"/>
      <w:bookmarkStart w:id="1009" w:name="_Toc338944655"/>
      <w:bookmarkStart w:id="1010" w:name="_Toc342296212"/>
      <w:bookmarkStart w:id="1011" w:name="_Toc338943750"/>
      <w:bookmarkStart w:id="1012" w:name="_Toc152045579"/>
      <w:bookmarkStart w:id="1013" w:name="_Toc179632597"/>
      <w:bookmarkStart w:id="1014" w:name="_Toc342294764"/>
      <w:bookmarkStart w:id="1015" w:name="_Toc429569150"/>
      <w:bookmarkStart w:id="1016" w:name="_Toc333599709"/>
      <w:bookmarkStart w:id="1017" w:name="_Toc349730891"/>
      <w:bookmarkStart w:id="1018" w:name="_Toc152042356"/>
      <w:bookmarkStart w:id="1019" w:name="_Toc333600733"/>
      <w:bookmarkStart w:id="1020" w:name="_Toc333587903"/>
      <w:r>
        <w:t xml:space="preserve">9.5  </w:t>
      </w:r>
      <w:r>
        <w:rPr>
          <w:rFonts w:hint="eastAsia"/>
        </w:rPr>
        <w:t>监督</w:t>
      </w:r>
      <w:bookmarkEnd w:id="1004"/>
      <w:bookmarkEnd w:id="1005"/>
      <w:bookmarkEnd w:id="1006"/>
      <w:bookmarkEnd w:id="1007"/>
      <w:bookmarkEnd w:id="1008"/>
    </w:p>
    <w:p>
      <w:pPr>
        <w:spacing w:line="360" w:lineRule="auto"/>
        <w:ind w:firstLine="420" w:firstLineChars="200"/>
        <w:rPr>
          <w:rFonts w:ascii="宋体"/>
        </w:rPr>
      </w:pPr>
      <w:r>
        <w:rPr>
          <w:rFonts w:hint="eastAsia" w:ascii="宋体" w:hAnsi="宋体" w:cs="Arial"/>
          <w:szCs w:val="21"/>
        </w:rPr>
        <w:t>本次招标的招标投标活动及其相关当事人应当接受有管辖权的建设工程招标投标行政监督部门依法实施的监督。</w:t>
      </w:r>
    </w:p>
    <w:p>
      <w:pPr>
        <w:pStyle w:val="155"/>
        <w:spacing w:before="120" w:after="120"/>
      </w:pPr>
      <w:bookmarkStart w:id="1021" w:name="_Toc490222464"/>
      <w:bookmarkStart w:id="1022" w:name="_Toc489279831"/>
      <w:bookmarkStart w:id="1023" w:name="_Toc117350384"/>
      <w:bookmarkStart w:id="1024" w:name="_Toc486580018"/>
      <w:bookmarkStart w:id="1025" w:name="_Toc482197568"/>
      <w:r>
        <w:t xml:space="preserve">9.6  </w:t>
      </w:r>
      <w:r>
        <w:rPr>
          <w:rFonts w:hint="eastAsia"/>
        </w:rPr>
        <w:t>异议与投诉</w:t>
      </w:r>
      <w:bookmarkEnd w:id="1002"/>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pPr>
        <w:spacing w:line="360" w:lineRule="auto"/>
        <w:ind w:firstLine="420" w:firstLineChars="200"/>
        <w:rPr>
          <w:rFonts w:ascii="宋体"/>
        </w:rPr>
      </w:pPr>
      <w:bookmarkStart w:id="1026" w:name="_Toc481746522"/>
      <w:bookmarkStart w:id="1027" w:name="_Toc480581585"/>
      <w:r>
        <w:rPr>
          <w:rFonts w:ascii="宋体" w:hAnsi="宋体"/>
        </w:rPr>
        <w:t xml:space="preserve">9.6.1  </w:t>
      </w:r>
      <w:r>
        <w:rPr>
          <w:rFonts w:hint="eastAsia" w:ascii="宋体" w:hAnsi="宋体"/>
        </w:rPr>
        <w:t>异议</w:t>
      </w:r>
      <w:bookmarkEnd w:id="1026"/>
      <w:bookmarkEnd w:id="1027"/>
    </w:p>
    <w:p>
      <w:pPr>
        <w:spacing w:line="360" w:lineRule="auto"/>
        <w:ind w:firstLine="420" w:firstLineChars="200"/>
        <w:rPr>
          <w:rFonts w:ascii="宋体"/>
          <w:szCs w:val="21"/>
        </w:rPr>
      </w:pPr>
      <w:r>
        <w:rPr>
          <w:rFonts w:hint="eastAsia" w:ascii="宋体" w:hAnsi="宋体" w:cs="Arial"/>
          <w:bCs/>
          <w:szCs w:val="21"/>
        </w:rPr>
        <w:t>（</w:t>
      </w:r>
      <w:r>
        <w:rPr>
          <w:rFonts w:ascii="宋体" w:hAnsi="宋体" w:cs="Arial"/>
          <w:bCs/>
          <w:szCs w:val="21"/>
        </w:rPr>
        <w:t>1</w:t>
      </w:r>
      <w:r>
        <w:rPr>
          <w:rFonts w:hint="eastAsia" w:ascii="宋体" w:hAnsi="宋体" w:cs="Arial"/>
          <w:bCs/>
          <w:szCs w:val="21"/>
        </w:rPr>
        <w:t>）潜在投标人</w:t>
      </w:r>
      <w:r>
        <w:rPr>
          <w:rFonts w:hint="eastAsia" w:ascii="宋体" w:hAnsi="宋体" w:cs="Arial"/>
          <w:szCs w:val="21"/>
        </w:rPr>
        <w:t>或者其他利害关系人</w:t>
      </w:r>
      <w:r>
        <w:rPr>
          <w:rFonts w:hint="eastAsia" w:ascii="宋体" w:hAnsi="宋体"/>
          <w:szCs w:val="21"/>
        </w:rPr>
        <w:t>对招标文件有异议的，应当在投标截止时间</w:t>
      </w:r>
      <w:r>
        <w:rPr>
          <w:rFonts w:ascii="宋体" w:hAnsi="宋体"/>
          <w:szCs w:val="21"/>
        </w:rPr>
        <w:t>10</w:t>
      </w:r>
      <w:r>
        <w:rPr>
          <w:rFonts w:hint="eastAsia" w:ascii="宋体" w:hAnsi="宋体"/>
          <w:szCs w:val="21"/>
        </w:rPr>
        <w:t>日前提出。招标人应当自收到异议之日起</w:t>
      </w:r>
      <w:r>
        <w:rPr>
          <w:rFonts w:ascii="宋体" w:hAnsi="宋体"/>
          <w:szCs w:val="21"/>
        </w:rPr>
        <w:t>3</w:t>
      </w:r>
      <w:r>
        <w:rPr>
          <w:rFonts w:hint="eastAsia" w:ascii="宋体" w:hAnsi="宋体"/>
          <w:szCs w:val="21"/>
        </w:rPr>
        <w:t>日内作出答复；作出答复前，应当暂停招标投标活动。</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投标人对开标有异议的，应当在开标现场提出，招标人应当当场作出答复，并制作记录。对于采用远程在线开标的，投标人对开标过程有异议的，应在开标结果确认环节提出。在开标结果确认环节，投标人应在招标文件规定的时间内对系统生成的开标记录表进行核对，如有异议，应在招标文件规定的时间内在线提出，超时将无法提出。招标人应对异议在线答复，异议与答复内容作为开标信息记入开标记录表。</w:t>
      </w:r>
    </w:p>
    <w:p>
      <w:pPr>
        <w:spacing w:line="360" w:lineRule="auto"/>
        <w:ind w:firstLine="420" w:firstLineChars="200"/>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）投标人或者其他利害关系人对依法必须招标的项目的评标结果有异议的，应当在中标候选人公示期间提出。招标人应当自收到异议之日起</w:t>
      </w:r>
      <w:r>
        <w:rPr>
          <w:rFonts w:ascii="宋体" w:hAnsi="宋体" w:cs="Arial"/>
          <w:szCs w:val="21"/>
        </w:rPr>
        <w:t>3</w:t>
      </w:r>
      <w:r>
        <w:rPr>
          <w:rFonts w:hint="eastAsia" w:ascii="宋体" w:hAnsi="宋体" w:cs="Arial"/>
          <w:szCs w:val="21"/>
        </w:rPr>
        <w:t>日内作出答复；作出答复前，应当暂停招标投标活动。</w:t>
      </w:r>
    </w:p>
    <w:p>
      <w:pPr>
        <w:spacing w:line="360" w:lineRule="auto"/>
        <w:ind w:firstLine="420" w:firstLineChars="200"/>
        <w:rPr>
          <w:rFonts w:ascii="宋体"/>
        </w:rPr>
      </w:pPr>
      <w:bookmarkStart w:id="1028" w:name="_Toc480581586"/>
      <w:bookmarkStart w:id="1029" w:name="_Toc481746523"/>
      <w:r>
        <w:rPr>
          <w:rFonts w:ascii="宋体" w:hAnsi="宋体"/>
        </w:rPr>
        <w:t xml:space="preserve">9.6.2  </w:t>
      </w:r>
      <w:r>
        <w:rPr>
          <w:rFonts w:hint="eastAsia" w:ascii="宋体" w:hAnsi="宋体"/>
        </w:rPr>
        <w:t>投诉</w:t>
      </w:r>
      <w:bookmarkEnd w:id="1028"/>
      <w:bookmarkEnd w:id="1029"/>
    </w:p>
    <w:p>
      <w:pPr>
        <w:spacing w:line="360" w:lineRule="auto"/>
        <w:ind w:firstLine="420" w:firstLineChars="200"/>
        <w:rPr>
          <w:rFonts w:ascii="宋体"/>
        </w:rPr>
      </w:pPr>
      <w:r>
        <w:rPr>
          <w:rFonts w:hint="eastAsia" w:ascii="宋体" w:hAnsi="宋体"/>
        </w:rPr>
        <w:t>投标人和其他利害关系人认为本次招标活动违反法律、法规和规章规定的，有权向有关行政监督部门投诉。</w:t>
      </w:r>
    </w:p>
    <w:p>
      <w:pPr>
        <w:pStyle w:val="144"/>
        <w:spacing w:before="120" w:after="120"/>
      </w:pPr>
      <w:bookmarkStart w:id="1030" w:name="_Toc403052534"/>
      <w:bookmarkStart w:id="1031" w:name="_Toc489279832"/>
      <w:bookmarkStart w:id="1032" w:name="_Toc403059477"/>
      <w:bookmarkStart w:id="1033" w:name="_Toc486580019"/>
      <w:bookmarkStart w:id="1034" w:name="_Toc490222465"/>
      <w:bookmarkStart w:id="1035" w:name="_Toc117350385"/>
      <w:bookmarkStart w:id="1036" w:name="_Toc482197569"/>
      <w:r>
        <w:t>10.</w:t>
      </w:r>
      <w:r>
        <w:rPr>
          <w:rFonts w:hint="eastAsia"/>
        </w:rPr>
        <w:t>知识产权</w:t>
      </w:r>
      <w:bookmarkEnd w:id="1030"/>
      <w:bookmarkEnd w:id="1031"/>
      <w:bookmarkEnd w:id="1032"/>
      <w:bookmarkEnd w:id="1033"/>
      <w:bookmarkEnd w:id="1034"/>
      <w:bookmarkEnd w:id="1035"/>
      <w:bookmarkEnd w:id="1036"/>
    </w:p>
    <w:p>
      <w:pPr>
        <w:spacing w:line="360" w:lineRule="auto"/>
        <w:ind w:firstLine="420" w:firstLineChars="200"/>
        <w:rPr>
          <w:rFonts w:ascii="宋体"/>
        </w:rPr>
      </w:pPr>
      <w:r>
        <w:rPr>
          <w:rFonts w:hint="eastAsia" w:ascii="宋体" w:hAnsi="宋体"/>
        </w:rPr>
        <w:t>构成本招标文件各个组成部分的文件，未经招标人书面同意，投标人不得擅自复印和用于非本招标工程所需的其他目的。招标人全部或者部分使用非中标单位投标文件中的技术成果或技术方案时，需征得其书面同意，并不得擅自复印或提供给第三人。</w:t>
      </w:r>
    </w:p>
    <w:p>
      <w:pPr>
        <w:pStyle w:val="144"/>
        <w:spacing w:before="120" w:after="120"/>
      </w:pPr>
      <w:bookmarkStart w:id="1037" w:name="_Toc490222466"/>
      <w:bookmarkStart w:id="1038" w:name="_Toc489279833"/>
      <w:bookmarkStart w:id="1039" w:name="_Toc403059479"/>
      <w:bookmarkStart w:id="1040" w:name="_Toc117350386"/>
      <w:bookmarkStart w:id="1041" w:name="_Toc403052536"/>
      <w:bookmarkStart w:id="1042" w:name="_Toc486580020"/>
      <w:bookmarkStart w:id="1043" w:name="_Toc482197570"/>
      <w:r>
        <w:t>11.</w:t>
      </w:r>
      <w:r>
        <w:rPr>
          <w:rFonts w:hint="eastAsia"/>
        </w:rPr>
        <w:t>解释权</w:t>
      </w:r>
      <w:bookmarkEnd w:id="1037"/>
      <w:bookmarkEnd w:id="1038"/>
      <w:bookmarkEnd w:id="1039"/>
      <w:bookmarkEnd w:id="1040"/>
      <w:bookmarkEnd w:id="1041"/>
      <w:bookmarkEnd w:id="1042"/>
      <w:bookmarkEnd w:id="1043"/>
    </w:p>
    <w:p>
      <w:pPr>
        <w:spacing w:line="360" w:lineRule="auto"/>
        <w:ind w:firstLine="420" w:firstLineChars="200"/>
        <w:rPr>
          <w:rFonts w:ascii="宋体" w:hAnsi="宋体"/>
        </w:rPr>
      </w:pPr>
      <w:r>
        <w:rPr>
          <w:rFonts w:hint="eastAsia" w:ascii="宋体" w:hAnsi="宋体"/>
        </w:rPr>
        <w:t>11.1本招标文件由招标人依法负责解释。</w:t>
      </w:r>
    </w:p>
    <w:p>
      <w:pPr>
        <w:spacing w:line="360" w:lineRule="auto"/>
        <w:ind w:firstLine="420" w:firstLineChars="200"/>
        <w:rPr>
          <w:rFonts w:ascii="宋体" w:hAnsi="宋体"/>
        </w:rPr>
      </w:pPr>
      <w:r>
        <w:rPr>
          <w:rFonts w:hint="eastAsia" w:ascii="宋体" w:hAnsi="宋体"/>
        </w:rPr>
        <w:t>11.2构成本招标文件的各个组成文件应当互为解释，互为说明；如果有不明确或不一致，招标人依法进行解释时，遵循以下原则：</w:t>
      </w:r>
    </w:p>
    <w:p>
      <w:pPr>
        <w:spacing w:line="360" w:lineRule="auto"/>
        <w:ind w:firstLine="420" w:firstLineChars="200"/>
        <w:rPr>
          <w:rFonts w:ascii="宋体" w:hAnsi="宋体"/>
        </w:rPr>
      </w:pPr>
      <w:r>
        <w:rPr>
          <w:rFonts w:hint="eastAsia" w:ascii="宋体" w:hAnsi="宋体"/>
        </w:rPr>
        <w:t>11.</w:t>
      </w:r>
      <w:r>
        <w:rPr>
          <w:rFonts w:ascii="宋体" w:hAnsi="宋体"/>
        </w:rPr>
        <w:t>2.1</w:t>
      </w:r>
      <w:r>
        <w:rPr>
          <w:rFonts w:hint="eastAsia" w:ascii="宋体" w:hAnsi="宋体"/>
        </w:rPr>
        <w:t>构成合同文件组成内容的，以合同文件约定内容为准，且以合同条款专用部分约定的合同文件优先顺序解释；</w:t>
      </w:r>
    </w:p>
    <w:p>
      <w:pPr>
        <w:spacing w:line="360" w:lineRule="auto"/>
        <w:ind w:firstLine="420" w:firstLineChars="200"/>
        <w:rPr>
          <w:rFonts w:ascii="宋体" w:hAnsi="宋体"/>
        </w:rPr>
      </w:pPr>
      <w:r>
        <w:rPr>
          <w:rFonts w:hint="eastAsia" w:ascii="宋体" w:hAnsi="宋体"/>
        </w:rPr>
        <w:t>11.</w:t>
      </w:r>
      <w:r>
        <w:rPr>
          <w:rFonts w:ascii="宋体" w:hAnsi="宋体"/>
        </w:rPr>
        <w:t>2.2</w:t>
      </w:r>
      <w:r>
        <w:rPr>
          <w:rFonts w:hint="eastAsia" w:ascii="宋体" w:hAnsi="宋体"/>
        </w:rPr>
        <w:t>不构成合同文件组成内容的，除招标文件中有特别规定外，按招标公告（未进行资格预审）、投标人须知、评标办法、投标文件格式的先后顺序解释；</w:t>
      </w:r>
    </w:p>
    <w:p>
      <w:pPr>
        <w:spacing w:line="360" w:lineRule="auto"/>
        <w:ind w:firstLine="420" w:firstLineChars="200"/>
        <w:rPr>
          <w:rFonts w:ascii="宋体" w:hAnsi="宋体"/>
        </w:rPr>
      </w:pPr>
      <w:r>
        <w:rPr>
          <w:rFonts w:hint="eastAsia" w:ascii="宋体" w:hAnsi="宋体"/>
        </w:rPr>
        <w:t>11.</w:t>
      </w:r>
      <w:r>
        <w:rPr>
          <w:rFonts w:ascii="宋体" w:hAnsi="宋体"/>
        </w:rPr>
        <w:t>2.3</w:t>
      </w:r>
      <w:r>
        <w:rPr>
          <w:rFonts w:hint="eastAsia" w:ascii="宋体" w:hAnsi="宋体"/>
        </w:rPr>
        <w:t>同一组成文件中就同一事项的规定或约定不一致的，以编排顺序在后者为准；</w:t>
      </w:r>
    </w:p>
    <w:p>
      <w:pPr>
        <w:spacing w:line="360" w:lineRule="auto"/>
        <w:ind w:firstLine="420" w:firstLineChars="200"/>
        <w:rPr>
          <w:rFonts w:ascii="宋体" w:hAnsi="宋体"/>
        </w:rPr>
      </w:pPr>
      <w:r>
        <w:rPr>
          <w:rFonts w:hint="eastAsia" w:ascii="宋体" w:hAnsi="宋体"/>
        </w:rPr>
        <w:t>11.</w:t>
      </w:r>
      <w:r>
        <w:rPr>
          <w:rFonts w:ascii="宋体" w:hAnsi="宋体"/>
        </w:rPr>
        <w:t>2.4</w:t>
      </w:r>
      <w:r>
        <w:rPr>
          <w:rFonts w:hint="eastAsia" w:ascii="宋体" w:hAnsi="宋体"/>
        </w:rPr>
        <w:t>同一组成文件不同版本之间有不一致的，以形成时间在后者为准。</w:t>
      </w:r>
    </w:p>
    <w:p>
      <w:pPr>
        <w:pStyle w:val="144"/>
        <w:spacing w:before="120" w:after="120"/>
      </w:pPr>
      <w:bookmarkStart w:id="1044" w:name="_Toc117350387"/>
      <w:bookmarkStart w:id="1045" w:name="_Toc489279834"/>
      <w:bookmarkStart w:id="1046" w:name="_Toc152045580"/>
      <w:bookmarkStart w:id="1047" w:name="_Toc486580021"/>
      <w:bookmarkStart w:id="1048" w:name="_Toc482197571"/>
      <w:bookmarkStart w:id="1049" w:name="_Toc333599710"/>
      <w:bookmarkStart w:id="1050" w:name="_Toc342296213"/>
      <w:bookmarkStart w:id="1051" w:name="_Toc429569151"/>
      <w:bookmarkStart w:id="1052" w:name="_Toc152042357"/>
      <w:bookmarkStart w:id="1053" w:name="_Toc342294765"/>
      <w:bookmarkStart w:id="1054" w:name="_Toc179632598"/>
      <w:bookmarkStart w:id="1055" w:name="_Toc338944656"/>
      <w:bookmarkStart w:id="1056" w:name="_Toc349730892"/>
      <w:bookmarkStart w:id="1057" w:name="_Toc338943751"/>
      <w:bookmarkStart w:id="1058" w:name="_Toc333600734"/>
      <w:bookmarkStart w:id="1059" w:name="_Toc490222467"/>
      <w:bookmarkStart w:id="1060" w:name="_Toc144974547"/>
      <w:r>
        <w:t>12.</w:t>
      </w:r>
      <w:r>
        <w:rPr>
          <w:rFonts w:hint="eastAsia"/>
        </w:rPr>
        <w:t>其他补充内容</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pPr>
        <w:spacing w:line="360" w:lineRule="auto"/>
        <w:ind w:firstLine="420" w:firstLineChars="200"/>
        <w:rPr>
          <w:rFonts w:ascii="宋体" w:hAnsi="宋体"/>
        </w:rPr>
        <w:sectPr>
          <w:headerReference r:id="rId17" w:type="default"/>
          <w:footerReference r:id="rId18" w:type="default"/>
          <w:footerReference r:id="rId19" w:type="even"/>
          <w:pgSz w:w="11906" w:h="16838"/>
          <w:pgMar w:top="1440" w:right="1797" w:bottom="1440" w:left="1797" w:header="851" w:footer="992" w:gutter="0"/>
          <w:cols w:space="720" w:num="1"/>
          <w:docGrid w:linePitch="286" w:charSpace="0"/>
        </w:sectPr>
      </w:pPr>
      <w:bookmarkStart w:id="1061" w:name="_Toc342296214"/>
      <w:r>
        <w:rPr>
          <w:rFonts w:hint="eastAsia" w:ascii="宋体" w:hAnsi="宋体"/>
        </w:rPr>
        <w:t>其他补充内容</w:t>
      </w:r>
      <w:r>
        <w:rPr>
          <w:rFonts w:hint="eastAsia" w:ascii="黑体" w:hAnsi="黑体" w:eastAsia="黑体"/>
        </w:rPr>
        <w:t>见投标人须知专用部分</w:t>
      </w:r>
      <w:r>
        <w:rPr>
          <w:rFonts w:hint="eastAsia" w:ascii="宋体" w:hAnsi="宋体"/>
        </w:rPr>
        <w:t>。</w:t>
      </w:r>
      <w:bookmarkEnd w:id="95"/>
      <w:bookmarkEnd w:id="96"/>
      <w:bookmarkEnd w:id="97"/>
      <w:bookmarkEnd w:id="98"/>
      <w:bookmarkEnd w:id="99"/>
      <w:bookmarkEnd w:id="1061"/>
    </w:p>
    <w:p>
      <w:pPr>
        <w:pStyle w:val="39"/>
        <w:spacing w:before="3600" w:beforeLines="1500"/>
        <w:rPr>
          <w:szCs w:val="44"/>
        </w:rPr>
      </w:pPr>
      <w:bookmarkStart w:id="1062" w:name="_Toc489279835"/>
      <w:bookmarkStart w:id="1063" w:name="_Toc486580022"/>
      <w:bookmarkStart w:id="1064" w:name="_Toc490222468"/>
      <w:bookmarkStart w:id="1065" w:name="_Toc117350388"/>
      <w:bookmarkStart w:id="1066" w:name="_Toc179632616"/>
      <w:bookmarkStart w:id="1067" w:name="_Toc152042375"/>
      <w:bookmarkStart w:id="1068" w:name="_Toc241459648"/>
      <w:bookmarkStart w:id="1069" w:name="_Toc342296242"/>
      <w:bookmarkStart w:id="1070" w:name="_Toc144974565"/>
      <w:bookmarkStart w:id="1071" w:name="_Toc429569180"/>
      <w:bookmarkStart w:id="1072" w:name="_Toc152045598"/>
      <w:r>
        <w:rPr>
          <w:rFonts w:hint="eastAsia"/>
          <w:szCs w:val="44"/>
        </w:rPr>
        <w:t>第三章</w:t>
      </w:r>
      <w:r>
        <w:rPr>
          <w:szCs w:val="44"/>
        </w:rPr>
        <w:t xml:space="preserve">  </w:t>
      </w:r>
      <w:r>
        <w:rPr>
          <w:rFonts w:hint="eastAsia"/>
          <w:szCs w:val="44"/>
        </w:rPr>
        <w:t>评标办法通用部分</w:t>
      </w:r>
      <w:bookmarkEnd w:id="1062"/>
      <w:bookmarkEnd w:id="1063"/>
      <w:bookmarkEnd w:id="1064"/>
      <w:bookmarkEnd w:id="1065"/>
    </w:p>
    <w:p>
      <w:pPr>
        <w:pStyle w:val="39"/>
        <w:rPr>
          <w:rFonts w:ascii="宋体"/>
          <w:sz w:val="48"/>
          <w:szCs w:val="48"/>
        </w:rPr>
      </w:pPr>
    </w:p>
    <w:p>
      <w:pPr>
        <w:spacing w:line="360" w:lineRule="auto"/>
        <w:rPr>
          <w:rFonts w:ascii="宋体"/>
          <w:sz w:val="30"/>
        </w:rPr>
      </w:pPr>
      <w:r>
        <w:rPr>
          <w:rFonts w:ascii="宋体"/>
        </w:rPr>
        <w:br w:type="page"/>
      </w:r>
      <w:r>
        <w:rPr>
          <w:rFonts w:ascii="宋体"/>
        </w:rPr>
        <w:br w:type="page"/>
      </w:r>
    </w:p>
    <w:p>
      <w:pPr>
        <w:jc w:val="center"/>
        <w:rPr>
          <w:b/>
          <w:szCs w:val="21"/>
        </w:rPr>
      </w:pPr>
      <w:bookmarkStart w:id="1073" w:name="_Toc486580023"/>
      <w:bookmarkStart w:id="1074" w:name="_Toc480582336"/>
      <w:bookmarkStart w:id="1075" w:name="_Toc479499806"/>
      <w:bookmarkStart w:id="1076" w:name="_Toc490222469"/>
      <w:bookmarkStart w:id="1077" w:name="_Toc497235255"/>
      <w:bookmarkStart w:id="1078" w:name="_Toc480490316"/>
    </w:p>
    <w:p>
      <w:pPr>
        <w:jc w:val="center"/>
        <w:rPr>
          <w:b/>
          <w:sz w:val="32"/>
          <w:szCs w:val="32"/>
        </w:rPr>
      </w:pPr>
      <w:r>
        <w:rPr>
          <w:rFonts w:hint="eastAsia"/>
          <w:b/>
          <w:sz w:val="32"/>
          <w:szCs w:val="32"/>
        </w:rPr>
        <w:t>第三章</w:t>
      </w:r>
      <w:r>
        <w:rPr>
          <w:b/>
          <w:sz w:val="32"/>
          <w:szCs w:val="32"/>
        </w:rPr>
        <w:t xml:space="preserve"> </w:t>
      </w:r>
      <w:r>
        <w:rPr>
          <w:rFonts w:hint="eastAsia"/>
          <w:b/>
          <w:sz w:val="32"/>
          <w:szCs w:val="32"/>
        </w:rPr>
        <w:t>评标办法</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spacing w:line="360" w:lineRule="auto"/>
        <w:jc w:val="left"/>
        <w:rPr>
          <w:rFonts w:eastAsia="黑体"/>
          <w:sz w:val="28"/>
          <w:szCs w:val="28"/>
          <w:u w:val="single"/>
        </w:rPr>
      </w:pPr>
      <w:bookmarkStart w:id="1079" w:name="_Toc144974566"/>
      <w:bookmarkStart w:id="1080" w:name="_Toc152042376"/>
      <w:bookmarkStart w:id="1081" w:name="_Toc241459651"/>
      <w:bookmarkStart w:id="1082" w:name="_Toc152045599"/>
      <w:bookmarkStart w:id="1083" w:name="_Toc179632617"/>
    </w:p>
    <w:p>
      <w:pPr>
        <w:pStyle w:val="144"/>
        <w:adjustRightInd w:val="0"/>
        <w:snapToGrid w:val="0"/>
        <w:spacing w:before="120" w:after="120"/>
      </w:pPr>
      <w:bookmarkStart w:id="1084" w:name="_Toc152042377"/>
      <w:bookmarkStart w:id="1085" w:name="_Toc429569183"/>
      <w:bookmarkStart w:id="1086" w:name="_Toc486580024"/>
      <w:bookmarkStart w:id="1087" w:name="_Toc342296245"/>
      <w:bookmarkStart w:id="1088" w:name="_Toc144974567"/>
      <w:bookmarkStart w:id="1089" w:name="_Toc152045600"/>
      <w:bookmarkStart w:id="1090" w:name="_Toc349730908"/>
      <w:bookmarkStart w:id="1091" w:name="_Toc490222470"/>
      <w:bookmarkStart w:id="1092" w:name="_Toc342294797"/>
      <w:bookmarkStart w:id="1093" w:name="_Toc179632618"/>
      <w:bookmarkStart w:id="1094" w:name="_Toc489279836"/>
      <w:bookmarkStart w:id="1095" w:name="_Toc117350389"/>
      <w:bookmarkStart w:id="1096" w:name="_Toc483675415"/>
      <w:bookmarkStart w:id="1097" w:name="_Toc333600757"/>
      <w:bookmarkStart w:id="1098" w:name="_Toc333599733"/>
      <w:bookmarkStart w:id="1099" w:name="_Toc338944688"/>
      <w:r>
        <w:t>1.</w:t>
      </w:r>
      <w:r>
        <w:rPr>
          <w:rFonts w:hint="eastAsia"/>
        </w:rPr>
        <w:t>评标方法</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pPr>
        <w:spacing w:line="360" w:lineRule="auto"/>
        <w:ind w:firstLine="420" w:firstLineChars="200"/>
        <w:rPr>
          <w:rFonts w:ascii="宋体"/>
        </w:rPr>
      </w:pPr>
      <w:r>
        <w:rPr>
          <w:rFonts w:hint="eastAsia" w:ascii="宋体" w:hAnsi="宋体"/>
        </w:rPr>
        <w:t>本次评标采用综合评估法。评标委员会对满足招标文件实质性要求的投标文件，按照本章第</w:t>
      </w:r>
      <w:r>
        <w:rPr>
          <w:rFonts w:ascii="宋体" w:hAnsi="宋体"/>
        </w:rPr>
        <w:t>2.2</w:t>
      </w:r>
      <w:r>
        <w:rPr>
          <w:rFonts w:hint="eastAsia" w:ascii="宋体" w:hAnsi="宋体"/>
        </w:rPr>
        <w:t>款规定的评分标准进行打分，并按得分由高到低顺序推荐中标候选人，或根据招标人授权直接确定中标人，但投标报价低于其成本的除外。</w:t>
      </w:r>
    </w:p>
    <w:p>
      <w:pPr>
        <w:pStyle w:val="144"/>
        <w:adjustRightInd w:val="0"/>
        <w:snapToGrid w:val="0"/>
        <w:spacing w:before="120" w:after="120"/>
      </w:pPr>
      <w:bookmarkStart w:id="1100" w:name="_Toc490222471"/>
      <w:bookmarkStart w:id="1101" w:name="_Toc429569184"/>
      <w:bookmarkStart w:id="1102" w:name="_Toc179632619"/>
      <w:bookmarkStart w:id="1103" w:name="_Toc117350390"/>
      <w:bookmarkStart w:id="1104" w:name="_Toc333600758"/>
      <w:bookmarkStart w:id="1105" w:name="_Toc486580025"/>
      <w:bookmarkStart w:id="1106" w:name="_Toc489279837"/>
      <w:bookmarkStart w:id="1107" w:name="_Toc338944689"/>
      <w:bookmarkStart w:id="1108" w:name="_Toc333599734"/>
      <w:bookmarkStart w:id="1109" w:name="_Toc349730909"/>
      <w:bookmarkStart w:id="1110" w:name="_Toc152042378"/>
      <w:bookmarkStart w:id="1111" w:name="_Toc342296246"/>
      <w:bookmarkStart w:id="1112" w:name="_Toc152045601"/>
      <w:bookmarkStart w:id="1113" w:name="_Toc144974568"/>
      <w:bookmarkStart w:id="1114" w:name="_Toc342294798"/>
      <w:bookmarkStart w:id="1115" w:name="_Toc483675416"/>
      <w:r>
        <w:t>2.</w:t>
      </w:r>
      <w:r>
        <w:rPr>
          <w:rFonts w:hint="eastAsia"/>
        </w:rPr>
        <w:t>评审标准</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pStyle w:val="155"/>
        <w:adjustRightInd w:val="0"/>
        <w:snapToGrid w:val="0"/>
        <w:spacing w:before="120" w:after="120"/>
        <w:jc w:val="left"/>
      </w:pPr>
      <w:bookmarkStart w:id="1116" w:name="_Toc144974569"/>
      <w:bookmarkStart w:id="1117" w:name="_Toc483675417"/>
      <w:bookmarkStart w:id="1118" w:name="_Toc333600759"/>
      <w:bookmarkStart w:id="1119" w:name="_Toc338944690"/>
      <w:bookmarkStart w:id="1120" w:name="_Toc152042379"/>
      <w:bookmarkStart w:id="1121" w:name="_Toc117350391"/>
      <w:bookmarkStart w:id="1122" w:name="_Toc152045602"/>
      <w:bookmarkStart w:id="1123" w:name="_Toc333599735"/>
      <w:bookmarkStart w:id="1124" w:name="_Toc349730910"/>
      <w:bookmarkStart w:id="1125" w:name="_Toc179632620"/>
      <w:bookmarkStart w:id="1126" w:name="_Toc490222472"/>
      <w:bookmarkStart w:id="1127" w:name="_Toc489279838"/>
      <w:bookmarkStart w:id="1128" w:name="_Toc429569185"/>
      <w:bookmarkStart w:id="1129" w:name="_Toc486580026"/>
      <w:bookmarkStart w:id="1130" w:name="_Toc342296247"/>
      <w:bookmarkStart w:id="1131" w:name="_Toc342294799"/>
      <w:r>
        <w:t xml:space="preserve">2.1  </w:t>
      </w:r>
      <w:r>
        <w:rPr>
          <w:rFonts w:hint="eastAsia"/>
        </w:rPr>
        <w:t>初步评审标准</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pPr>
        <w:spacing w:line="360" w:lineRule="auto"/>
        <w:ind w:firstLine="420" w:firstLineChars="200"/>
        <w:rPr>
          <w:rFonts w:ascii="宋体"/>
        </w:rPr>
      </w:pPr>
      <w:bookmarkStart w:id="1132" w:name="_Toc486580027"/>
      <w:bookmarkStart w:id="1133" w:name="_Toc429569186"/>
      <w:bookmarkStart w:id="1134" w:name="_Toc342294800"/>
      <w:bookmarkStart w:id="1135" w:name="_Toc483675418"/>
      <w:bookmarkStart w:id="1136" w:name="_Toc152045603"/>
      <w:bookmarkStart w:id="1137" w:name="_Toc333600760"/>
      <w:bookmarkStart w:id="1138" w:name="_Toc179632621"/>
      <w:bookmarkStart w:id="1139" w:name="_Toc338944691"/>
      <w:bookmarkStart w:id="1140" w:name="_Toc342296248"/>
      <w:bookmarkStart w:id="1141" w:name="_Toc333599736"/>
      <w:bookmarkStart w:id="1142" w:name="_Toc152042380"/>
      <w:bookmarkStart w:id="1143" w:name="_Toc349730911"/>
      <w:bookmarkStart w:id="1144" w:name="_Toc144974570"/>
      <w:r>
        <w:rPr>
          <w:rFonts w:ascii="宋体" w:hAnsi="宋体"/>
        </w:rPr>
        <w:t xml:space="preserve">2.1.1  </w:t>
      </w:r>
      <w:r>
        <w:rPr>
          <w:rFonts w:hint="eastAsia" w:ascii="宋体" w:hAnsi="宋体"/>
        </w:rPr>
        <w:t>形式评审标准：评审因素和评审标准</w:t>
      </w:r>
      <w:r>
        <w:rPr>
          <w:rFonts w:hint="eastAsia" w:ascii="黑体" w:hAnsi="黑体" w:eastAsia="黑体"/>
        </w:rPr>
        <w:t>见评标办法专用部分“附表</w:t>
      </w:r>
      <w:r>
        <w:rPr>
          <w:rFonts w:ascii="黑体" w:hAnsi="黑体" w:eastAsia="黑体"/>
        </w:rPr>
        <w:t>4</w:t>
      </w:r>
      <w:r>
        <w:rPr>
          <w:rFonts w:hint="eastAsia" w:ascii="黑体" w:hAnsi="黑体" w:eastAsia="黑体"/>
        </w:rPr>
        <w:t>：形式评审记录表”</w:t>
      </w:r>
      <w:r>
        <w:rPr>
          <w:rFonts w:hint="eastAsia" w:ascii="宋体" w:hAnsi="宋体"/>
        </w:rPr>
        <w:t>；</w:t>
      </w:r>
    </w:p>
    <w:p>
      <w:pPr>
        <w:spacing w:line="360" w:lineRule="auto"/>
        <w:ind w:firstLine="420" w:firstLineChars="200"/>
        <w:rPr>
          <w:rFonts w:ascii="宋体"/>
        </w:rPr>
      </w:pPr>
      <w:r>
        <w:rPr>
          <w:rFonts w:ascii="宋体" w:hAnsi="宋体"/>
        </w:rPr>
        <w:t xml:space="preserve">2.1.2  </w:t>
      </w:r>
      <w:r>
        <w:rPr>
          <w:rFonts w:hint="eastAsia" w:ascii="宋体" w:hAnsi="宋体"/>
        </w:rPr>
        <w:t>资格评审标准：评审因素和评审标准</w:t>
      </w:r>
      <w:r>
        <w:rPr>
          <w:rFonts w:hint="eastAsia" w:ascii="黑体" w:hAnsi="黑体" w:eastAsia="黑体"/>
        </w:rPr>
        <w:t>见评标办法专用部分“附表</w:t>
      </w:r>
      <w:r>
        <w:rPr>
          <w:rFonts w:ascii="黑体" w:hAnsi="黑体" w:eastAsia="黑体"/>
        </w:rPr>
        <w:t>5</w:t>
      </w:r>
      <w:r>
        <w:rPr>
          <w:rFonts w:hint="eastAsia" w:ascii="黑体" w:hAnsi="黑体" w:eastAsia="黑体"/>
        </w:rPr>
        <w:t>：资格评审记录表”</w:t>
      </w:r>
      <w:r>
        <w:rPr>
          <w:rFonts w:hint="eastAsia" w:ascii="宋体" w:hAnsi="宋体"/>
        </w:rPr>
        <w:t>；</w:t>
      </w:r>
      <w:r>
        <w:rPr>
          <w:rFonts w:ascii="宋体" w:hAnsi="宋体"/>
        </w:rPr>
        <w:t xml:space="preserve"> </w:t>
      </w:r>
    </w:p>
    <w:p>
      <w:pPr>
        <w:spacing w:line="360" w:lineRule="auto"/>
        <w:ind w:firstLine="420" w:firstLineChars="200"/>
        <w:rPr>
          <w:rFonts w:ascii="宋体"/>
        </w:rPr>
      </w:pPr>
      <w:r>
        <w:rPr>
          <w:rFonts w:ascii="宋体" w:hAnsi="宋体"/>
        </w:rPr>
        <w:t xml:space="preserve">2.1.3  </w:t>
      </w:r>
      <w:r>
        <w:rPr>
          <w:rFonts w:hint="eastAsia" w:ascii="宋体" w:hAnsi="宋体"/>
        </w:rPr>
        <w:t>响应性评审标准：评审因素和评审标准</w:t>
      </w:r>
      <w:r>
        <w:rPr>
          <w:rFonts w:hint="eastAsia" w:ascii="黑体" w:hAnsi="黑体" w:eastAsia="黑体"/>
        </w:rPr>
        <w:t>见评标办法专用部分“附表</w:t>
      </w:r>
      <w:r>
        <w:rPr>
          <w:rFonts w:ascii="黑体" w:hAnsi="黑体" w:eastAsia="黑体"/>
        </w:rPr>
        <w:t>6</w:t>
      </w:r>
      <w:r>
        <w:rPr>
          <w:rFonts w:hint="eastAsia" w:ascii="黑体" w:hAnsi="黑体" w:eastAsia="黑体"/>
        </w:rPr>
        <w:t>：响应性评审记录表”</w:t>
      </w:r>
      <w:r>
        <w:rPr>
          <w:rFonts w:hint="eastAsia" w:ascii="宋体" w:hAnsi="宋体"/>
        </w:rPr>
        <w:t>。</w:t>
      </w:r>
    </w:p>
    <w:p>
      <w:pPr>
        <w:pStyle w:val="155"/>
        <w:adjustRightInd w:val="0"/>
        <w:snapToGrid w:val="0"/>
        <w:spacing w:before="120" w:after="120"/>
        <w:jc w:val="left"/>
      </w:pPr>
      <w:bookmarkStart w:id="1145" w:name="_Toc490222473"/>
      <w:bookmarkStart w:id="1146" w:name="_Toc489279839"/>
      <w:bookmarkStart w:id="1147" w:name="_Toc117350392"/>
      <w:r>
        <w:t xml:space="preserve">2.2  </w:t>
      </w:r>
      <w:r>
        <w:rPr>
          <w:rFonts w:hint="eastAsia"/>
        </w:rPr>
        <w:t>分值构成与评分标准</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pPr>
        <w:spacing w:line="360" w:lineRule="auto"/>
        <w:ind w:firstLine="420" w:firstLineChars="200"/>
        <w:rPr>
          <w:rFonts w:ascii="宋体"/>
        </w:rPr>
      </w:pPr>
      <w:r>
        <w:rPr>
          <w:rFonts w:ascii="宋体" w:hAnsi="宋体"/>
        </w:rPr>
        <w:t xml:space="preserve">2.2.1  </w:t>
      </w:r>
      <w:r>
        <w:rPr>
          <w:rFonts w:hint="eastAsia" w:ascii="宋体" w:hAnsi="宋体"/>
        </w:rPr>
        <w:t>分值构成</w:t>
      </w:r>
    </w:p>
    <w:p>
      <w:pPr>
        <w:spacing w:line="360" w:lineRule="auto"/>
        <w:ind w:firstLine="424" w:firstLineChars="202"/>
        <w:rPr>
          <w:rFonts w:ascii="宋体"/>
        </w:rPr>
      </w:pPr>
      <w:r>
        <w:rPr>
          <w:rFonts w:hint="eastAsia" w:ascii="宋体" w:hAnsi="宋体"/>
        </w:rPr>
        <w:t>（</w:t>
      </w:r>
      <w:r>
        <w:rPr>
          <w:rFonts w:ascii="宋体" w:hAnsi="宋体"/>
        </w:rPr>
        <w:t>1</w:t>
      </w:r>
      <w:r>
        <w:rPr>
          <w:rFonts w:hint="eastAsia" w:ascii="宋体" w:hAnsi="宋体"/>
        </w:rPr>
        <w:t>）施工组织设计</w:t>
      </w:r>
      <w:r>
        <w:rPr>
          <w:rFonts w:hint="eastAsia" w:ascii="黑体" w:hAnsi="黑体" w:eastAsia="黑体"/>
        </w:rPr>
        <w:t>见评标办法专用部分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2</w:t>
      </w:r>
      <w:r>
        <w:rPr>
          <w:rFonts w:hint="eastAsia" w:ascii="宋体" w:hAnsi="宋体"/>
        </w:rPr>
        <w:t>）项目管理机构</w:t>
      </w:r>
      <w:r>
        <w:rPr>
          <w:rFonts w:hint="eastAsia" w:ascii="黑体" w:hAnsi="黑体" w:eastAsia="黑体"/>
        </w:rPr>
        <w:t>见评标办法专用部分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3</w:t>
      </w:r>
      <w:r>
        <w:rPr>
          <w:rFonts w:hint="eastAsia" w:ascii="宋体" w:hAnsi="宋体"/>
        </w:rPr>
        <w:t>）投标报价</w:t>
      </w:r>
      <w:r>
        <w:rPr>
          <w:rFonts w:hint="eastAsia" w:ascii="黑体" w:hAnsi="黑体" w:eastAsia="黑体"/>
        </w:rPr>
        <w:t>见评标办法专用部分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4</w:t>
      </w:r>
      <w:r>
        <w:rPr>
          <w:rFonts w:hint="eastAsia" w:ascii="宋体" w:hAnsi="宋体"/>
        </w:rPr>
        <w:t>）信誉评审</w:t>
      </w:r>
      <w:r>
        <w:rPr>
          <w:rFonts w:hint="eastAsia" w:ascii="黑体" w:hAnsi="黑体" w:eastAsia="黑体"/>
        </w:rPr>
        <w:t>见评标办法专用部分</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5</w:t>
      </w:r>
      <w:r>
        <w:rPr>
          <w:rFonts w:hint="eastAsia" w:ascii="宋体" w:hAnsi="宋体"/>
        </w:rPr>
        <w:t>）其他评分因素</w:t>
      </w:r>
      <w:r>
        <w:rPr>
          <w:rFonts w:hint="eastAsia" w:ascii="黑体" w:hAnsi="黑体" w:eastAsia="黑体"/>
        </w:rPr>
        <w:t>见评标办法专用部分</w:t>
      </w:r>
      <w:r>
        <w:rPr>
          <w:rFonts w:hint="eastAsia" w:ascii="宋体" w:hAnsi="宋体"/>
        </w:rPr>
        <w:t>。</w:t>
      </w:r>
    </w:p>
    <w:p>
      <w:pPr>
        <w:spacing w:line="360" w:lineRule="auto"/>
        <w:ind w:firstLine="420" w:firstLineChars="200"/>
        <w:rPr>
          <w:rFonts w:ascii="宋体"/>
        </w:rPr>
      </w:pPr>
      <w:r>
        <w:rPr>
          <w:rFonts w:ascii="宋体" w:hAnsi="宋体"/>
        </w:rPr>
        <w:t xml:space="preserve">2.2.2  </w:t>
      </w:r>
      <w:r>
        <w:rPr>
          <w:rFonts w:hint="eastAsia" w:ascii="宋体" w:hAnsi="宋体"/>
        </w:rPr>
        <w:t>评标基准价计算</w:t>
      </w:r>
    </w:p>
    <w:p>
      <w:pPr>
        <w:spacing w:line="360" w:lineRule="auto"/>
        <w:ind w:firstLine="420" w:firstLineChars="200"/>
        <w:rPr>
          <w:rFonts w:ascii="宋体"/>
        </w:rPr>
      </w:pPr>
      <w:r>
        <w:rPr>
          <w:rFonts w:hint="eastAsia" w:ascii="宋体" w:hAnsi="宋体"/>
        </w:rPr>
        <w:t>评标基准价计算方法</w:t>
      </w:r>
      <w:r>
        <w:rPr>
          <w:rFonts w:hint="eastAsia" w:ascii="黑体" w:hAnsi="黑体" w:eastAsia="黑体"/>
        </w:rPr>
        <w:t>见评标办法专用部分</w:t>
      </w:r>
      <w:r>
        <w:rPr>
          <w:rFonts w:hint="eastAsia" w:ascii="宋体" w:hAnsi="宋体"/>
        </w:rPr>
        <w:t>。</w:t>
      </w:r>
    </w:p>
    <w:p>
      <w:pPr>
        <w:spacing w:line="360" w:lineRule="auto"/>
        <w:ind w:firstLine="420" w:firstLineChars="200"/>
        <w:rPr>
          <w:rFonts w:ascii="宋体"/>
        </w:rPr>
      </w:pPr>
      <w:r>
        <w:rPr>
          <w:rFonts w:ascii="宋体" w:hAnsi="宋体"/>
        </w:rPr>
        <w:t>2.2.3</w:t>
      </w:r>
      <w:r>
        <w:rPr>
          <w:rFonts w:hint="eastAsia" w:ascii="宋体" w:hAnsi="宋体"/>
        </w:rPr>
        <w:t>投标报价的偏差率计算</w:t>
      </w:r>
    </w:p>
    <w:p>
      <w:pPr>
        <w:spacing w:line="360" w:lineRule="auto"/>
        <w:ind w:firstLine="420" w:firstLineChars="200"/>
        <w:rPr>
          <w:rFonts w:ascii="宋体"/>
        </w:rPr>
      </w:pPr>
      <w:r>
        <w:rPr>
          <w:rFonts w:hint="eastAsia" w:ascii="宋体" w:hAnsi="宋体"/>
        </w:rPr>
        <w:t>投标报价的偏差率计算公式</w:t>
      </w:r>
      <w:r>
        <w:rPr>
          <w:rFonts w:hint="eastAsia" w:ascii="黑体" w:hAnsi="黑体" w:eastAsia="黑体"/>
        </w:rPr>
        <w:t>见评标办法专用部分</w:t>
      </w:r>
      <w:r>
        <w:rPr>
          <w:rFonts w:hint="eastAsia" w:ascii="宋体" w:hAnsi="宋体"/>
        </w:rPr>
        <w:t>。</w:t>
      </w:r>
    </w:p>
    <w:p>
      <w:pPr>
        <w:spacing w:line="360" w:lineRule="auto"/>
        <w:ind w:firstLine="420" w:firstLineChars="200"/>
        <w:rPr>
          <w:rFonts w:ascii="宋体"/>
        </w:rPr>
      </w:pPr>
      <w:r>
        <w:rPr>
          <w:rFonts w:ascii="宋体" w:hAnsi="宋体"/>
        </w:rPr>
        <w:t>2.2.4</w:t>
      </w:r>
      <w:r>
        <w:rPr>
          <w:rFonts w:hint="eastAsia" w:ascii="宋体" w:hAnsi="宋体"/>
        </w:rPr>
        <w:t>评分标准</w:t>
      </w:r>
    </w:p>
    <w:p>
      <w:pPr>
        <w:spacing w:line="360" w:lineRule="auto"/>
        <w:ind w:firstLine="424" w:firstLineChars="202"/>
        <w:rPr>
          <w:rFonts w:ascii="宋体"/>
        </w:rPr>
      </w:pPr>
      <w:bookmarkStart w:id="1148" w:name="_Toc483675419"/>
      <w:bookmarkStart w:id="1149" w:name="_Toc152045604"/>
      <w:bookmarkStart w:id="1150" w:name="_Toc342294801"/>
      <w:bookmarkStart w:id="1151" w:name="_Toc486580028"/>
      <w:bookmarkStart w:id="1152" w:name="_Toc333599737"/>
      <w:bookmarkStart w:id="1153" w:name="_Toc179632622"/>
      <w:bookmarkStart w:id="1154" w:name="_Toc333600761"/>
      <w:bookmarkStart w:id="1155" w:name="_Toc144974571"/>
      <w:bookmarkStart w:id="1156" w:name="_Toc342296249"/>
      <w:bookmarkStart w:id="1157" w:name="_Toc152042381"/>
      <w:bookmarkStart w:id="1158" w:name="_Toc349730912"/>
      <w:bookmarkStart w:id="1159" w:name="_Toc429569187"/>
      <w:bookmarkStart w:id="1160" w:name="_Toc338944692"/>
      <w:r>
        <w:rPr>
          <w:rFonts w:hint="eastAsia" w:ascii="宋体" w:hAnsi="宋体"/>
        </w:rPr>
        <w:t>（</w:t>
      </w:r>
      <w:r>
        <w:rPr>
          <w:rFonts w:ascii="宋体" w:hAnsi="宋体"/>
        </w:rPr>
        <w:t>1</w:t>
      </w:r>
      <w:r>
        <w:rPr>
          <w:rFonts w:hint="eastAsia" w:ascii="宋体" w:hAnsi="宋体"/>
        </w:rPr>
        <w:t>）施工组织设计评分标准</w:t>
      </w:r>
      <w:r>
        <w:rPr>
          <w:rFonts w:hint="eastAsia" w:ascii="黑体" w:hAnsi="黑体" w:eastAsia="黑体"/>
        </w:rPr>
        <w:t>见评标办法专用部分“附表</w:t>
      </w:r>
      <w:r>
        <w:rPr>
          <w:rFonts w:ascii="黑体" w:hAnsi="黑体" w:eastAsia="黑体"/>
        </w:rPr>
        <w:t>8</w:t>
      </w:r>
      <w:r>
        <w:rPr>
          <w:rFonts w:hint="eastAsia" w:ascii="黑体" w:hAnsi="黑体" w:eastAsia="黑体"/>
        </w:rPr>
        <w:t>：施工组织设计评审记录表”</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2</w:t>
      </w:r>
      <w:r>
        <w:rPr>
          <w:rFonts w:hint="eastAsia" w:ascii="宋体" w:hAnsi="宋体"/>
        </w:rPr>
        <w:t>）项目管理机构评分标准</w:t>
      </w:r>
      <w:r>
        <w:rPr>
          <w:rFonts w:hint="eastAsia" w:ascii="黑体" w:hAnsi="黑体" w:eastAsia="黑体"/>
        </w:rPr>
        <w:t>见评标办法专用部分“附表</w:t>
      </w:r>
      <w:r>
        <w:rPr>
          <w:rFonts w:ascii="黑体" w:hAnsi="黑体" w:eastAsia="黑体"/>
        </w:rPr>
        <w:t>9</w:t>
      </w:r>
      <w:r>
        <w:rPr>
          <w:rFonts w:hint="eastAsia" w:ascii="黑体" w:hAnsi="黑体" w:eastAsia="黑体"/>
        </w:rPr>
        <w:t>：项目管理机构评审记录表”</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3</w:t>
      </w:r>
      <w:r>
        <w:rPr>
          <w:rFonts w:hint="eastAsia" w:ascii="宋体" w:hAnsi="宋体"/>
        </w:rPr>
        <w:t>）投标报价评分标准</w:t>
      </w:r>
      <w:r>
        <w:rPr>
          <w:rFonts w:hint="eastAsia" w:ascii="黑体" w:hAnsi="黑体" w:eastAsia="黑体"/>
        </w:rPr>
        <w:t>见评标办法专用部分“附表</w:t>
      </w:r>
      <w:r>
        <w:rPr>
          <w:rFonts w:ascii="黑体" w:hAnsi="黑体" w:eastAsia="黑体"/>
        </w:rPr>
        <w:t>10</w:t>
      </w:r>
      <w:r>
        <w:rPr>
          <w:rFonts w:hint="eastAsia" w:ascii="黑体" w:hAnsi="黑体" w:eastAsia="黑体"/>
        </w:rPr>
        <w:t>：投标报价评审得分记录表”</w:t>
      </w:r>
      <w:r>
        <w:rPr>
          <w:rFonts w:hint="eastAsia" w:ascii="宋体" w:hAnsi="宋体"/>
        </w:rPr>
        <w:t>；</w:t>
      </w:r>
    </w:p>
    <w:p>
      <w:pPr>
        <w:spacing w:line="360" w:lineRule="auto"/>
        <w:ind w:firstLine="424" w:firstLineChars="202"/>
        <w:rPr>
          <w:rFonts w:ascii="宋体"/>
        </w:rPr>
      </w:pPr>
      <w:r>
        <w:rPr>
          <w:rFonts w:hint="eastAsia" w:ascii="宋体" w:hAnsi="宋体"/>
        </w:rPr>
        <w:t>（</w:t>
      </w:r>
      <w:r>
        <w:rPr>
          <w:rFonts w:ascii="宋体" w:hAnsi="宋体"/>
        </w:rPr>
        <w:t>4</w:t>
      </w:r>
      <w:r>
        <w:rPr>
          <w:rFonts w:hint="eastAsia" w:ascii="宋体" w:hAnsi="宋体"/>
        </w:rPr>
        <w:t>）信誉评分标准</w:t>
      </w:r>
      <w:r>
        <w:rPr>
          <w:rFonts w:hint="eastAsia" w:ascii="黑体" w:hAnsi="黑体" w:eastAsia="黑体"/>
        </w:rPr>
        <w:t>见评标办法专用部分“附表</w:t>
      </w:r>
      <w:r>
        <w:rPr>
          <w:rFonts w:ascii="黑体" w:hAnsi="黑体" w:eastAsia="黑体"/>
        </w:rPr>
        <w:t>11</w:t>
      </w:r>
      <w:r>
        <w:rPr>
          <w:rFonts w:hint="eastAsia" w:ascii="黑体" w:hAnsi="黑体" w:eastAsia="黑体"/>
        </w:rPr>
        <w:t>：信誉评审得分记录表”；</w:t>
      </w:r>
    </w:p>
    <w:p>
      <w:pPr>
        <w:spacing w:line="360" w:lineRule="auto"/>
        <w:ind w:firstLine="424" w:firstLineChars="202"/>
        <w:rPr>
          <w:rFonts w:ascii="宋体"/>
        </w:rPr>
      </w:pPr>
      <w:r>
        <w:rPr>
          <w:rFonts w:hint="eastAsia" w:ascii="宋体" w:hAnsi="宋体"/>
        </w:rPr>
        <w:t>（</w:t>
      </w:r>
      <w:r>
        <w:rPr>
          <w:rFonts w:ascii="宋体" w:hAnsi="宋体"/>
        </w:rPr>
        <w:t>5</w:t>
      </w:r>
      <w:r>
        <w:rPr>
          <w:rFonts w:hint="eastAsia" w:ascii="宋体" w:hAnsi="宋体"/>
        </w:rPr>
        <w:t>）其他因素评分标准</w:t>
      </w:r>
      <w:r>
        <w:rPr>
          <w:rFonts w:hint="eastAsia" w:ascii="黑体" w:hAnsi="黑体" w:eastAsia="黑体"/>
        </w:rPr>
        <w:t>见评标办法专用部分“附表</w:t>
      </w:r>
      <w:r>
        <w:rPr>
          <w:rFonts w:ascii="黑体" w:hAnsi="黑体" w:eastAsia="黑体"/>
        </w:rPr>
        <w:t>12</w:t>
      </w:r>
      <w:r>
        <w:rPr>
          <w:rFonts w:hint="eastAsia" w:ascii="黑体" w:hAnsi="黑体" w:eastAsia="黑体"/>
        </w:rPr>
        <w:t>：其他因素评审记录表”</w:t>
      </w:r>
      <w:r>
        <w:rPr>
          <w:rFonts w:hint="eastAsia" w:ascii="宋体" w:hAnsi="宋体"/>
        </w:rPr>
        <w:t>。</w:t>
      </w:r>
    </w:p>
    <w:p>
      <w:pPr>
        <w:pStyle w:val="144"/>
        <w:adjustRightInd w:val="0"/>
        <w:snapToGrid w:val="0"/>
        <w:spacing w:before="120" w:after="120"/>
      </w:pPr>
      <w:bookmarkStart w:id="1161" w:name="_Toc489279840"/>
      <w:bookmarkStart w:id="1162" w:name="_Toc117350393"/>
      <w:bookmarkStart w:id="1163" w:name="_Toc490222474"/>
      <w:r>
        <w:t>3.</w:t>
      </w:r>
      <w:r>
        <w:rPr>
          <w:rFonts w:hint="eastAsia"/>
        </w:rPr>
        <w:t>评标程序</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pPr>
        <w:pStyle w:val="155"/>
        <w:adjustRightInd w:val="0"/>
        <w:snapToGrid w:val="0"/>
        <w:spacing w:before="120" w:after="120"/>
        <w:jc w:val="left"/>
      </w:pPr>
      <w:bookmarkStart w:id="1164" w:name="_Toc483675420"/>
      <w:bookmarkStart w:id="1165" w:name="_Toc117350394"/>
      <w:bookmarkStart w:id="1166" w:name="_Toc486580029"/>
      <w:bookmarkStart w:id="1167" w:name="_Toc490222475"/>
      <w:bookmarkStart w:id="1168" w:name="_Toc489279841"/>
      <w:bookmarkStart w:id="1169" w:name="_Toc342296250"/>
      <w:bookmarkStart w:id="1170" w:name="_Toc333599738"/>
      <w:bookmarkStart w:id="1171" w:name="_Toc429569188"/>
      <w:bookmarkStart w:id="1172" w:name="_Toc152045605"/>
      <w:bookmarkStart w:id="1173" w:name="_Toc349730913"/>
      <w:bookmarkStart w:id="1174" w:name="_Toc179632623"/>
      <w:bookmarkStart w:id="1175" w:name="_Toc152042382"/>
      <w:bookmarkStart w:id="1176" w:name="_Toc338944693"/>
      <w:bookmarkStart w:id="1177" w:name="_Toc144974572"/>
      <w:bookmarkStart w:id="1178" w:name="_Toc342294802"/>
      <w:bookmarkStart w:id="1179" w:name="_Toc333600762"/>
      <w:r>
        <w:t xml:space="preserve">3.1  </w:t>
      </w:r>
      <w:r>
        <w:rPr>
          <w:rFonts w:hint="eastAsia"/>
        </w:rPr>
        <w:t>基本程序</w:t>
      </w:r>
      <w:bookmarkEnd w:id="1164"/>
      <w:bookmarkEnd w:id="1165"/>
      <w:bookmarkEnd w:id="1166"/>
      <w:bookmarkEnd w:id="1167"/>
      <w:bookmarkEnd w:id="1168"/>
    </w:p>
    <w:p>
      <w:pPr>
        <w:spacing w:line="360" w:lineRule="auto"/>
        <w:ind w:firstLine="420" w:firstLineChars="200"/>
        <w:rPr>
          <w:rFonts w:ascii="宋体"/>
          <w:szCs w:val="21"/>
        </w:rPr>
      </w:pPr>
      <w:r>
        <w:rPr>
          <w:rFonts w:hint="eastAsia" w:ascii="宋体" w:hAnsi="宋体"/>
          <w:szCs w:val="21"/>
        </w:rPr>
        <w:t>评标活动将按以下五个步骤进行：</w:t>
      </w:r>
    </w:p>
    <w:p>
      <w:pPr>
        <w:spacing w:line="360" w:lineRule="auto"/>
        <w:ind w:firstLine="420" w:firstLineChars="200"/>
        <w:rPr>
          <w:rFonts w:ascii="宋体"/>
          <w:szCs w:val="21"/>
        </w:rPr>
      </w:pPr>
      <w:r>
        <w:rPr>
          <w:rFonts w:hint="eastAsia" w:ascii="宋体" w:hAnsi="宋体"/>
        </w:rPr>
        <w:t>（</w:t>
      </w:r>
      <w:r>
        <w:rPr>
          <w:rFonts w:ascii="宋体" w:hAnsi="宋体"/>
        </w:rPr>
        <w:t>1</w:t>
      </w:r>
      <w:r>
        <w:rPr>
          <w:rFonts w:hint="eastAsia" w:ascii="宋体" w:hAnsi="宋体"/>
        </w:rPr>
        <w:t>）</w:t>
      </w:r>
      <w:r>
        <w:rPr>
          <w:rFonts w:hint="eastAsia" w:ascii="宋体" w:hAnsi="宋体"/>
          <w:szCs w:val="21"/>
        </w:rPr>
        <w:t>评标准备；</w:t>
      </w:r>
    </w:p>
    <w:p>
      <w:pPr>
        <w:spacing w:line="360" w:lineRule="auto"/>
        <w:ind w:firstLine="420" w:firstLineChars="200"/>
        <w:rPr>
          <w:rFonts w:ascii="宋体"/>
          <w:szCs w:val="21"/>
        </w:rPr>
      </w:pPr>
      <w:r>
        <w:rPr>
          <w:rFonts w:hint="eastAsia" w:ascii="宋体" w:hAnsi="宋体"/>
        </w:rPr>
        <w:t>（</w:t>
      </w:r>
      <w:r>
        <w:rPr>
          <w:rFonts w:ascii="宋体" w:hAnsi="宋体"/>
        </w:rPr>
        <w:t>2</w:t>
      </w:r>
      <w:r>
        <w:rPr>
          <w:rFonts w:hint="eastAsia" w:ascii="宋体" w:hAnsi="宋体"/>
        </w:rPr>
        <w:t>）</w:t>
      </w:r>
      <w:r>
        <w:rPr>
          <w:rFonts w:hint="eastAsia" w:ascii="宋体" w:hAnsi="宋体"/>
          <w:szCs w:val="21"/>
        </w:rPr>
        <w:t>初步评审；</w:t>
      </w:r>
    </w:p>
    <w:p>
      <w:pPr>
        <w:spacing w:line="360" w:lineRule="auto"/>
        <w:ind w:firstLine="420" w:firstLineChars="200"/>
        <w:rPr>
          <w:rFonts w:ascii="宋体"/>
          <w:szCs w:val="21"/>
        </w:rPr>
      </w:pPr>
      <w:r>
        <w:rPr>
          <w:rFonts w:hint="eastAsia" w:ascii="宋体" w:hAnsi="宋体"/>
        </w:rPr>
        <w:t>（</w:t>
      </w:r>
      <w:r>
        <w:rPr>
          <w:rFonts w:ascii="宋体" w:hAnsi="宋体"/>
        </w:rPr>
        <w:t>3</w:t>
      </w:r>
      <w:r>
        <w:rPr>
          <w:rFonts w:hint="eastAsia" w:ascii="宋体" w:hAnsi="宋体"/>
        </w:rPr>
        <w:t>）</w:t>
      </w:r>
      <w:r>
        <w:rPr>
          <w:rFonts w:hint="eastAsia" w:ascii="宋体" w:hAnsi="宋体"/>
          <w:szCs w:val="21"/>
        </w:rPr>
        <w:t>详细评审；</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）澄清、说明或补正；</w:t>
      </w:r>
    </w:p>
    <w:p>
      <w:pPr>
        <w:spacing w:line="360" w:lineRule="auto"/>
        <w:ind w:firstLine="420" w:firstLineChars="200"/>
        <w:rPr>
          <w:rFonts w:ascii="宋体"/>
        </w:rPr>
      </w:pPr>
      <w:r>
        <w:rPr>
          <w:rFonts w:hint="eastAsia" w:ascii="宋体" w:hAnsi="宋体"/>
        </w:rPr>
        <w:t>（</w:t>
      </w:r>
      <w:r>
        <w:rPr>
          <w:rFonts w:ascii="宋体" w:hAnsi="宋体"/>
        </w:rPr>
        <w:t>5</w:t>
      </w:r>
      <w:r>
        <w:rPr>
          <w:rFonts w:hint="eastAsia" w:ascii="宋体" w:hAnsi="宋体"/>
        </w:rPr>
        <w:t>）推荐中标候选人或者直接确定中标人及提交评标报告。</w:t>
      </w:r>
    </w:p>
    <w:p>
      <w:pPr>
        <w:pStyle w:val="155"/>
        <w:adjustRightInd w:val="0"/>
        <w:snapToGrid w:val="0"/>
        <w:spacing w:before="120" w:after="120"/>
        <w:jc w:val="left"/>
      </w:pPr>
      <w:bookmarkStart w:id="1180" w:name="_Toc393199469"/>
      <w:bookmarkStart w:id="1181" w:name="_Toc393200496"/>
      <w:bookmarkStart w:id="1182" w:name="_Toc117350395"/>
      <w:bookmarkStart w:id="1183" w:name="_Toc486580030"/>
      <w:bookmarkStart w:id="1184" w:name="_Toc403059516"/>
      <w:bookmarkStart w:id="1185" w:name="_Toc490222476"/>
      <w:bookmarkStart w:id="1186" w:name="_Toc403052573"/>
      <w:bookmarkStart w:id="1187" w:name="_Toc393199982"/>
      <w:bookmarkStart w:id="1188" w:name="_Toc483675421"/>
      <w:bookmarkStart w:id="1189" w:name="_Toc403054333"/>
      <w:bookmarkStart w:id="1190" w:name="_Toc393128327"/>
      <w:bookmarkStart w:id="1191" w:name="_Toc489279842"/>
      <w:r>
        <w:t xml:space="preserve">3.2  </w:t>
      </w:r>
      <w:r>
        <w:rPr>
          <w:rFonts w:hint="eastAsia"/>
        </w:rPr>
        <w:t>评标准备</w:t>
      </w:r>
      <w:bookmarkEnd w:id="1180"/>
      <w:bookmarkEnd w:id="1181"/>
      <w:bookmarkEnd w:id="1182"/>
      <w:bookmarkEnd w:id="1183"/>
      <w:bookmarkEnd w:id="1184"/>
      <w:bookmarkEnd w:id="1185"/>
      <w:bookmarkEnd w:id="1186"/>
      <w:bookmarkEnd w:id="1187"/>
      <w:bookmarkEnd w:id="1188"/>
      <w:bookmarkEnd w:id="1189"/>
      <w:bookmarkEnd w:id="1190"/>
      <w:bookmarkEnd w:id="1191"/>
    </w:p>
    <w:p>
      <w:pPr>
        <w:spacing w:line="360" w:lineRule="auto"/>
        <w:ind w:firstLine="420" w:firstLineChars="200"/>
        <w:rPr>
          <w:rFonts w:ascii="宋体"/>
        </w:rPr>
      </w:pPr>
      <w:r>
        <w:rPr>
          <w:rFonts w:ascii="宋体" w:hAnsi="宋体"/>
        </w:rPr>
        <w:t xml:space="preserve">3.2.1  </w:t>
      </w:r>
      <w:r>
        <w:rPr>
          <w:rFonts w:hint="eastAsia" w:ascii="宋体" w:hAnsi="宋体"/>
        </w:rPr>
        <w:t>评标委员会成员签到及签署声明</w:t>
      </w:r>
    </w:p>
    <w:p>
      <w:pPr>
        <w:spacing w:line="360" w:lineRule="auto"/>
        <w:ind w:firstLine="424" w:firstLineChars="202"/>
        <w:rPr>
          <w:rFonts w:ascii="宋体" w:cs="Arial"/>
          <w:szCs w:val="21"/>
        </w:rPr>
      </w:pPr>
      <w:r>
        <w:rPr>
          <w:rFonts w:hint="eastAsia" w:ascii="宋体" w:hAnsi="宋体" w:cs="Arial"/>
          <w:szCs w:val="21"/>
        </w:rPr>
        <w:t>评标委员会成员到达评标现场时应在签到表上签到以证明其出席。评标委员会签到表格式</w:t>
      </w:r>
      <w:r>
        <w:rPr>
          <w:rFonts w:hint="eastAsia" w:ascii="黑体" w:hAnsi="黑体" w:eastAsia="黑体"/>
        </w:rPr>
        <w:t>见评标办法专用部分附表</w:t>
      </w:r>
      <w:r>
        <w:rPr>
          <w:rFonts w:ascii="黑体" w:hAnsi="黑体" w:eastAsia="黑体"/>
        </w:rPr>
        <w:t>1</w:t>
      </w:r>
      <w:r>
        <w:rPr>
          <w:rFonts w:hint="eastAsia" w:ascii="宋体" w:hAnsi="宋体" w:cs="Arial"/>
          <w:szCs w:val="21"/>
        </w:rPr>
        <w:t>。</w:t>
      </w:r>
    </w:p>
    <w:p>
      <w:pPr>
        <w:spacing w:line="360" w:lineRule="auto"/>
        <w:ind w:firstLine="424" w:firstLineChars="202"/>
        <w:rPr>
          <w:rFonts w:ascii="宋体" w:cs="Arial"/>
          <w:bCs/>
          <w:kern w:val="0"/>
          <w:szCs w:val="21"/>
        </w:rPr>
      </w:pPr>
      <w:r>
        <w:rPr>
          <w:rFonts w:hint="eastAsia" w:ascii="宋体" w:hAnsi="宋体" w:cs="Arial"/>
          <w:bCs/>
          <w:kern w:val="0"/>
          <w:szCs w:val="21"/>
        </w:rPr>
        <w:t>评标委员会成员在评标前，应当签署评标专家声明书。声明本人不符合第二章“投标人须知”第</w:t>
      </w:r>
      <w:r>
        <w:rPr>
          <w:rFonts w:ascii="宋体" w:hAnsi="宋体" w:cs="Arial"/>
          <w:bCs/>
          <w:kern w:val="0"/>
          <w:szCs w:val="21"/>
        </w:rPr>
        <w:t>6.1.2</w:t>
      </w:r>
      <w:r>
        <w:rPr>
          <w:rFonts w:hint="eastAsia" w:ascii="宋体" w:hAnsi="宋体" w:cs="Arial"/>
          <w:bCs/>
          <w:kern w:val="0"/>
          <w:szCs w:val="21"/>
        </w:rPr>
        <w:t>项中约定的应当回避情形，保证遵守有关评标管理规定以及评标纪律，客观、公正地进行评标，并接受招投标监管部门的监督。评标专家声明书格式</w:t>
      </w:r>
      <w:r>
        <w:rPr>
          <w:rFonts w:hint="eastAsia" w:ascii="黑体" w:hAnsi="黑体" w:eastAsia="黑体"/>
        </w:rPr>
        <w:t>见评标办法专用部分附表</w:t>
      </w:r>
      <w:r>
        <w:rPr>
          <w:rFonts w:ascii="黑体" w:hAnsi="黑体" w:eastAsia="黑体"/>
        </w:rPr>
        <w:t>2</w:t>
      </w:r>
      <w:r>
        <w:rPr>
          <w:rFonts w:hint="eastAsia" w:ascii="黑体" w:hAnsi="黑体" w:eastAsia="黑体"/>
        </w:rPr>
        <w:t>。</w:t>
      </w:r>
    </w:p>
    <w:p>
      <w:pPr>
        <w:spacing w:line="360" w:lineRule="auto"/>
        <w:ind w:firstLine="420" w:firstLineChars="200"/>
        <w:rPr>
          <w:rFonts w:ascii="宋体"/>
          <w:szCs w:val="21"/>
        </w:rPr>
      </w:pPr>
      <w:r>
        <w:rPr>
          <w:rFonts w:ascii="宋体" w:hAnsi="宋体"/>
        </w:rPr>
        <w:t xml:space="preserve">3.2.2  </w:t>
      </w:r>
      <w:r>
        <w:rPr>
          <w:rFonts w:hint="eastAsia" w:ascii="宋体" w:hAnsi="宋体"/>
        </w:rPr>
        <w:t>评标委员会的分工</w:t>
      </w:r>
    </w:p>
    <w:p>
      <w:pPr>
        <w:spacing w:line="360" w:lineRule="auto"/>
        <w:ind w:firstLine="630" w:firstLineChars="300"/>
        <w:rPr>
          <w:rFonts w:ascii="宋体"/>
          <w:bCs/>
          <w:kern w:val="0"/>
          <w:szCs w:val="21"/>
        </w:rPr>
      </w:pPr>
      <w:r>
        <w:rPr>
          <w:rFonts w:ascii="宋体" w:hAnsi="宋体"/>
        </w:rPr>
        <w:t xml:space="preserve">3.2.2.1  </w:t>
      </w:r>
      <w:r>
        <w:rPr>
          <w:rFonts w:hint="eastAsia" w:ascii="宋体" w:hAnsi="宋体"/>
          <w:bCs/>
          <w:kern w:val="0"/>
          <w:szCs w:val="21"/>
        </w:rPr>
        <w:t>评标委员会首先推选一名评标委员会负责人。招标人也可以直接指定评标委员会负责人。评标委员会负责人负责评标活动的组织领导工作。评标委员会负责人与评标委员会其他成员具有同等的评标权力。</w:t>
      </w:r>
    </w:p>
    <w:p>
      <w:pPr>
        <w:spacing w:line="360" w:lineRule="auto"/>
        <w:ind w:firstLine="630" w:firstLineChars="300"/>
        <w:rPr>
          <w:rFonts w:ascii="宋体"/>
          <w:bCs/>
          <w:kern w:val="0"/>
          <w:szCs w:val="21"/>
        </w:rPr>
      </w:pPr>
      <w:r>
        <w:rPr>
          <w:rFonts w:ascii="宋体" w:hAnsi="宋体"/>
        </w:rPr>
        <w:t xml:space="preserve">3.2.2.2  </w:t>
      </w:r>
      <w:r>
        <w:rPr>
          <w:rFonts w:hint="eastAsia" w:ascii="宋体" w:hAnsi="宋体"/>
          <w:bCs/>
          <w:kern w:val="0"/>
          <w:szCs w:val="21"/>
        </w:rPr>
        <w:t>评标委员会负责人除履行自己作为评标委员会成员独立评标的职责外，主要负责以下工作：</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1</w:t>
      </w:r>
      <w:r>
        <w:rPr>
          <w:rFonts w:hint="eastAsia" w:ascii="宋体" w:hAnsi="宋体"/>
          <w:bCs/>
          <w:kern w:val="0"/>
          <w:szCs w:val="21"/>
        </w:rPr>
        <w:t>）组织评标委员会成员学习招标文件；</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2</w:t>
      </w:r>
      <w:r>
        <w:rPr>
          <w:rFonts w:hint="eastAsia" w:ascii="宋体" w:hAnsi="宋体"/>
          <w:bCs/>
          <w:kern w:val="0"/>
          <w:szCs w:val="21"/>
        </w:rPr>
        <w:t>）提醒招标人做好评标准备工作，包括提供所需的评标基础资料；</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3</w:t>
      </w:r>
      <w:r>
        <w:rPr>
          <w:rFonts w:hint="eastAsia" w:ascii="宋体" w:hAnsi="宋体"/>
          <w:bCs/>
          <w:kern w:val="0"/>
          <w:szCs w:val="21"/>
        </w:rPr>
        <w:t>）汇总各评标委员会成员认为需要投标人澄清、说明或者补正的问题</w:t>
      </w:r>
      <w:r>
        <w:rPr>
          <w:rFonts w:ascii="宋体"/>
          <w:bCs/>
          <w:kern w:val="0"/>
          <w:szCs w:val="21"/>
        </w:rPr>
        <w:t>,</w:t>
      </w:r>
      <w:r>
        <w:rPr>
          <w:rFonts w:hint="eastAsia" w:ascii="宋体" w:hAnsi="宋体"/>
          <w:bCs/>
          <w:kern w:val="0"/>
          <w:szCs w:val="21"/>
        </w:rPr>
        <w:t>组织评标委员会对投标人质询并对投标人的答复进行评审；</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4</w:t>
      </w:r>
      <w:r>
        <w:rPr>
          <w:rFonts w:hint="eastAsia" w:ascii="宋体" w:hAnsi="宋体"/>
          <w:bCs/>
          <w:kern w:val="0"/>
          <w:szCs w:val="21"/>
        </w:rPr>
        <w:t>）对出现较大争议的事项进行书面记录；</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5</w:t>
      </w:r>
      <w:r>
        <w:rPr>
          <w:rFonts w:hint="eastAsia" w:ascii="宋体" w:hAnsi="宋体"/>
          <w:bCs/>
          <w:kern w:val="0"/>
          <w:szCs w:val="21"/>
        </w:rPr>
        <w:t>）收回评标过程中使用的文件、表格和评标记录以及其他资料，并查验评标记录的完整性及有效性；</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6</w:t>
      </w:r>
      <w:r>
        <w:rPr>
          <w:rFonts w:hint="eastAsia" w:ascii="宋体" w:hAnsi="宋体"/>
          <w:bCs/>
          <w:kern w:val="0"/>
          <w:szCs w:val="21"/>
        </w:rPr>
        <w:t>）组织对评标结论进行复核确认；</w:t>
      </w:r>
    </w:p>
    <w:p>
      <w:pPr>
        <w:spacing w:line="360" w:lineRule="auto"/>
        <w:ind w:firstLine="567" w:firstLineChars="270"/>
        <w:rPr>
          <w:rFonts w:ascii="宋体"/>
          <w:bCs/>
          <w:kern w:val="0"/>
          <w:szCs w:val="21"/>
        </w:rPr>
      </w:pPr>
      <w:r>
        <w:rPr>
          <w:rFonts w:hint="eastAsia" w:ascii="宋体" w:hAnsi="宋体"/>
          <w:bCs/>
          <w:kern w:val="0"/>
          <w:szCs w:val="21"/>
        </w:rPr>
        <w:t>（</w:t>
      </w:r>
      <w:r>
        <w:rPr>
          <w:rFonts w:ascii="宋体" w:hAnsi="宋体"/>
          <w:bCs/>
          <w:kern w:val="0"/>
          <w:szCs w:val="21"/>
        </w:rPr>
        <w:t>7</w:t>
      </w:r>
      <w:r>
        <w:rPr>
          <w:rFonts w:hint="eastAsia" w:ascii="宋体" w:hAnsi="宋体"/>
          <w:bCs/>
          <w:kern w:val="0"/>
          <w:szCs w:val="21"/>
        </w:rPr>
        <w:t>）组织编写评标报告。</w:t>
      </w:r>
    </w:p>
    <w:p>
      <w:pPr>
        <w:spacing w:line="360" w:lineRule="auto"/>
        <w:ind w:firstLine="420" w:firstLineChars="200"/>
        <w:rPr>
          <w:rFonts w:ascii="宋体"/>
        </w:rPr>
      </w:pPr>
      <w:r>
        <w:rPr>
          <w:rFonts w:ascii="宋体" w:hAnsi="宋体"/>
        </w:rPr>
        <w:t xml:space="preserve">3.2.3  </w:t>
      </w:r>
      <w:r>
        <w:rPr>
          <w:rFonts w:hint="eastAsia" w:ascii="宋体" w:hAnsi="宋体"/>
        </w:rPr>
        <w:t>熟悉文件资料</w:t>
      </w:r>
    </w:p>
    <w:p>
      <w:pPr>
        <w:spacing w:line="360" w:lineRule="auto"/>
        <w:ind w:firstLine="630" w:firstLineChars="300"/>
        <w:rPr>
          <w:rFonts w:ascii="宋体"/>
          <w:szCs w:val="21"/>
        </w:rPr>
      </w:pPr>
      <w:r>
        <w:rPr>
          <w:rFonts w:ascii="宋体" w:hAnsi="宋体"/>
        </w:rPr>
        <w:t xml:space="preserve">3.2.3.1  </w:t>
      </w:r>
      <w:r>
        <w:rPr>
          <w:rFonts w:hint="eastAsia" w:ascii="宋体" w:hAnsi="宋体" w:cs="Arial"/>
          <w:bCs/>
          <w:kern w:val="0"/>
          <w:szCs w:val="21"/>
        </w:rPr>
        <w:t>评标委员会负责人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r>
        <w:rPr>
          <w:rFonts w:hint="eastAsia" w:ascii="宋体" w:hAnsi="宋体"/>
          <w:bCs/>
          <w:kern w:val="0"/>
          <w:szCs w:val="21"/>
        </w:rPr>
        <w:t>。</w:t>
      </w:r>
    </w:p>
    <w:p>
      <w:pPr>
        <w:spacing w:line="360" w:lineRule="auto"/>
        <w:ind w:firstLine="618" w:firstLineChars="300"/>
        <w:rPr>
          <w:rFonts w:ascii="宋体"/>
          <w:spacing w:val="-2"/>
          <w:szCs w:val="21"/>
        </w:rPr>
      </w:pPr>
      <w:r>
        <w:rPr>
          <w:rFonts w:ascii="宋体" w:hAnsi="宋体"/>
          <w:spacing w:val="-2"/>
        </w:rPr>
        <w:t xml:space="preserve">3.2.3.2  </w:t>
      </w:r>
      <w:r>
        <w:rPr>
          <w:rFonts w:hint="eastAsia" w:ascii="宋体" w:hAnsi="宋体"/>
          <w:bCs/>
          <w:spacing w:val="-2"/>
          <w:kern w:val="0"/>
          <w:szCs w:val="21"/>
        </w:rPr>
        <w:t>招标人或招标代理机构应当向评标委员会提供评标所需的信息和数据，包括：</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rPr>
        <w:t>经招投标监管部门备案的招标文件及其澄清修改或补充文件</w:t>
      </w:r>
      <w:r>
        <w:rPr>
          <w:rFonts w:hint="eastAsia" w:ascii="宋体" w:hAnsi="宋体"/>
          <w:szCs w:val="21"/>
        </w:rPr>
        <w:t>；</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2</w:t>
      </w:r>
      <w:r>
        <w:rPr>
          <w:rFonts w:hint="eastAsia" w:ascii="宋体" w:hAnsi="宋体"/>
          <w:szCs w:val="21"/>
        </w:rPr>
        <w:t>）未在开标会上当场拒绝的各投标文件；</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3</w:t>
      </w:r>
      <w:r>
        <w:rPr>
          <w:rFonts w:hint="eastAsia" w:ascii="宋体" w:hAnsi="宋体"/>
          <w:szCs w:val="21"/>
        </w:rPr>
        <w:t>）开标会记录；</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4</w:t>
      </w:r>
      <w:r>
        <w:rPr>
          <w:rFonts w:hint="eastAsia" w:ascii="宋体" w:hAnsi="宋体"/>
          <w:szCs w:val="21"/>
        </w:rPr>
        <w:t>）</w:t>
      </w:r>
      <w:bookmarkStart w:id="1192" w:name="_Hlk102849333"/>
      <w:r>
        <w:rPr>
          <w:rFonts w:hint="eastAsia" w:ascii="宋体" w:hAnsi="宋体"/>
          <w:szCs w:val="21"/>
        </w:rPr>
        <w:t>工程招标控制价（如有）或标底（如有）</w:t>
      </w:r>
      <w:bookmarkEnd w:id="1192"/>
      <w:r>
        <w:rPr>
          <w:rFonts w:hint="eastAsia" w:ascii="宋体" w:hAnsi="宋体"/>
          <w:szCs w:val="21"/>
        </w:rPr>
        <w:t>；</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5</w:t>
      </w:r>
      <w:r>
        <w:rPr>
          <w:rFonts w:hint="eastAsia" w:ascii="宋体" w:hAnsi="宋体"/>
          <w:szCs w:val="21"/>
        </w:rPr>
        <w:t>）评标表格；</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6</w:t>
      </w:r>
      <w:r>
        <w:rPr>
          <w:rFonts w:hint="eastAsia" w:ascii="宋体" w:hAnsi="宋体"/>
          <w:szCs w:val="21"/>
        </w:rPr>
        <w:t>）其他信息和数据</w:t>
      </w:r>
      <w:r>
        <w:rPr>
          <w:rFonts w:hint="eastAsia" w:ascii="黑体" w:hAnsi="黑体" w:eastAsia="黑体"/>
        </w:rPr>
        <w:t>见评标办法专用部分</w:t>
      </w:r>
      <w:r>
        <w:rPr>
          <w:rFonts w:hint="eastAsia" w:ascii="黑体" w:hAnsi="黑体" w:eastAsia="黑体"/>
          <w:szCs w:val="21"/>
        </w:rPr>
        <w:t>。</w:t>
      </w:r>
    </w:p>
    <w:p>
      <w:pPr>
        <w:spacing w:line="360" w:lineRule="auto"/>
        <w:ind w:firstLine="420" w:firstLineChars="200"/>
        <w:rPr>
          <w:rFonts w:ascii="宋体"/>
        </w:rPr>
      </w:pPr>
      <w:r>
        <w:rPr>
          <w:rFonts w:ascii="宋体" w:hAnsi="宋体"/>
        </w:rPr>
        <w:t xml:space="preserve">3.2.4  </w:t>
      </w:r>
      <w:r>
        <w:rPr>
          <w:rFonts w:hint="eastAsia" w:ascii="宋体" w:hAnsi="宋体"/>
        </w:rPr>
        <w:t>暗标编号</w:t>
      </w:r>
      <w:r>
        <w:rPr>
          <w:rFonts w:ascii="宋体" w:hAnsi="宋体"/>
        </w:rPr>
        <w:t xml:space="preserve"> </w:t>
      </w:r>
    </w:p>
    <w:p>
      <w:pPr>
        <w:spacing w:line="360" w:lineRule="auto"/>
        <w:ind w:firstLine="420" w:firstLineChars="200"/>
        <w:rPr>
          <w:rFonts w:ascii="宋体" w:cs="Arial"/>
          <w:szCs w:val="21"/>
        </w:rPr>
      </w:pPr>
      <w:r>
        <w:rPr>
          <w:rFonts w:hint="eastAsia" w:ascii="宋体" w:hAnsi="宋体" w:cs="Arial"/>
          <w:iCs/>
          <w:szCs w:val="28"/>
        </w:rPr>
        <w:t>在评标开始前，招标人或其委托的招标代理机构</w:t>
      </w:r>
      <w:r>
        <w:rPr>
          <w:rFonts w:hint="eastAsia" w:ascii="宋体" w:hAnsi="宋体"/>
        </w:rPr>
        <w:t>使用加密时的</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cs="Arial"/>
          <w:iCs/>
          <w:szCs w:val="28"/>
        </w:rPr>
        <w:t>对电子化平台中的电子标书进行解密，并自动生成施工组织设计各模块的暗标编号。在评标委员会全体成员均完成暗标评审并将评审记录保存后，由评标委员会通过系统的编码记录确定投标人与暗标编号的对应关系，系统自动生成技术暗标编号确认表。投标文件未按照投标人须知第</w:t>
      </w:r>
      <w:r>
        <w:rPr>
          <w:rFonts w:ascii="宋体" w:hAnsi="宋体" w:cs="Arial"/>
          <w:iCs/>
          <w:szCs w:val="28"/>
        </w:rPr>
        <w:t>3.7.4</w:t>
      </w:r>
      <w:r>
        <w:rPr>
          <w:rFonts w:hint="eastAsia" w:ascii="宋体" w:hAnsi="宋体" w:cs="Arial"/>
          <w:iCs/>
          <w:szCs w:val="28"/>
        </w:rPr>
        <w:t>项规定的模块目录编写的内容不予评审，该模块内容按“零”分处理。</w:t>
      </w:r>
      <w:r>
        <w:rPr>
          <w:rFonts w:hint="eastAsia" w:ascii="宋体" w:hAnsi="宋体" w:cs="Arial"/>
          <w:szCs w:val="21"/>
        </w:rPr>
        <w:t>技术暗标编号确认表格式</w:t>
      </w:r>
      <w:r>
        <w:rPr>
          <w:rFonts w:hint="eastAsia" w:ascii="黑体" w:hAnsi="黑体" w:eastAsia="黑体"/>
        </w:rPr>
        <w:t>见评标办法专用部分附表</w:t>
      </w:r>
      <w:r>
        <w:rPr>
          <w:rFonts w:ascii="黑体" w:hAnsi="黑体" w:eastAsia="黑体"/>
        </w:rPr>
        <w:t>3</w:t>
      </w:r>
      <w:r>
        <w:rPr>
          <w:rFonts w:hint="eastAsia" w:ascii="黑体" w:hAnsi="黑体" w:eastAsia="黑体" w:cs="Arial"/>
          <w:szCs w:val="21"/>
        </w:rPr>
        <w:t>。</w:t>
      </w:r>
    </w:p>
    <w:p>
      <w:pPr>
        <w:pStyle w:val="155"/>
        <w:adjustRightInd w:val="0"/>
        <w:snapToGrid w:val="0"/>
        <w:spacing w:before="120" w:after="120"/>
        <w:jc w:val="left"/>
      </w:pPr>
      <w:bookmarkStart w:id="1193" w:name="_Toc117350396"/>
      <w:bookmarkStart w:id="1194" w:name="_Toc403052574"/>
      <w:bookmarkStart w:id="1195" w:name="_Toc393199470"/>
      <w:bookmarkStart w:id="1196" w:name="_Toc393199983"/>
      <w:bookmarkStart w:id="1197" w:name="_Toc393200497"/>
      <w:bookmarkStart w:id="1198" w:name="_Toc486580031"/>
      <w:bookmarkStart w:id="1199" w:name="_Toc403059517"/>
      <w:bookmarkStart w:id="1200" w:name="_Toc403054334"/>
      <w:bookmarkStart w:id="1201" w:name="_Toc489279843"/>
      <w:bookmarkStart w:id="1202" w:name="_Toc490222477"/>
      <w:bookmarkStart w:id="1203" w:name="_Toc393128328"/>
      <w:bookmarkStart w:id="1204" w:name="_Toc483675422"/>
      <w:r>
        <w:t xml:space="preserve">3.3  </w:t>
      </w:r>
      <w:r>
        <w:rPr>
          <w:rFonts w:hint="eastAsia"/>
        </w:rPr>
        <w:t>初步评审</w:t>
      </w:r>
      <w:bookmarkEnd w:id="1193"/>
      <w:bookmarkEnd w:id="1194"/>
      <w:bookmarkEnd w:id="1195"/>
      <w:bookmarkEnd w:id="1196"/>
      <w:bookmarkEnd w:id="1197"/>
      <w:bookmarkEnd w:id="1198"/>
      <w:bookmarkEnd w:id="1199"/>
      <w:bookmarkEnd w:id="1200"/>
      <w:bookmarkEnd w:id="1201"/>
      <w:bookmarkEnd w:id="1202"/>
      <w:bookmarkEnd w:id="1203"/>
      <w:bookmarkEnd w:id="1204"/>
    </w:p>
    <w:p>
      <w:pPr>
        <w:spacing w:line="360" w:lineRule="auto"/>
        <w:ind w:firstLine="420" w:firstLineChars="200"/>
        <w:rPr>
          <w:rFonts w:ascii="宋体"/>
        </w:rPr>
      </w:pPr>
      <w:bookmarkStart w:id="1205" w:name="_Toc393199471"/>
      <w:bookmarkStart w:id="1206" w:name="_Toc479499196"/>
      <w:bookmarkStart w:id="1207" w:name="_Toc403052575"/>
      <w:bookmarkStart w:id="1208" w:name="_Toc479499582"/>
      <w:bookmarkStart w:id="1209" w:name="_Toc393128329"/>
      <w:bookmarkStart w:id="1210" w:name="_Toc393199984"/>
      <w:bookmarkStart w:id="1211" w:name="_Toc403059518"/>
      <w:bookmarkStart w:id="1212" w:name="_Toc393200498"/>
      <w:bookmarkStart w:id="1213" w:name="_Toc403054335"/>
      <w:r>
        <w:rPr>
          <w:rFonts w:ascii="宋体" w:hAnsi="宋体"/>
        </w:rPr>
        <w:t xml:space="preserve">3.3.1  </w:t>
      </w:r>
      <w:r>
        <w:rPr>
          <w:rFonts w:hint="eastAsia" w:ascii="宋体" w:hAnsi="宋体"/>
        </w:rPr>
        <w:t>形式评审</w:t>
      </w:r>
      <w:bookmarkEnd w:id="1205"/>
      <w:bookmarkEnd w:id="1206"/>
      <w:bookmarkEnd w:id="1207"/>
      <w:bookmarkEnd w:id="1208"/>
      <w:bookmarkEnd w:id="1209"/>
      <w:bookmarkEnd w:id="1210"/>
      <w:bookmarkEnd w:id="1211"/>
      <w:bookmarkEnd w:id="1212"/>
      <w:bookmarkEnd w:id="1213"/>
    </w:p>
    <w:p>
      <w:pPr>
        <w:spacing w:line="360" w:lineRule="auto"/>
        <w:ind w:firstLine="424" w:firstLineChars="202"/>
        <w:rPr>
          <w:rFonts w:ascii="宋体" w:cs="Arial"/>
          <w:szCs w:val="21"/>
        </w:rPr>
      </w:pPr>
      <w:r>
        <w:rPr>
          <w:rFonts w:hint="eastAsia" w:ascii="宋体" w:hAnsi="宋体" w:cs="Arial"/>
          <w:szCs w:val="21"/>
        </w:rPr>
        <w:t>评标委员会根据形式评审记录表中规定的评审因素和评审标准，对投标人的投标文件进行形式评审，并使用形式评审记录表记录评审结果。形式评审记录表格式</w:t>
      </w:r>
      <w:r>
        <w:rPr>
          <w:rFonts w:hint="eastAsia" w:ascii="黑体" w:hAnsi="黑体" w:eastAsia="黑体"/>
        </w:rPr>
        <w:t>见评标办法专用部分附表</w:t>
      </w:r>
      <w:r>
        <w:rPr>
          <w:rFonts w:ascii="黑体" w:hAnsi="黑体" w:eastAsia="黑体"/>
        </w:rPr>
        <w:t>4</w:t>
      </w:r>
      <w:r>
        <w:rPr>
          <w:rFonts w:hint="eastAsia" w:ascii="黑体" w:hAnsi="黑体" w:eastAsia="黑体" w:cs="Arial"/>
          <w:szCs w:val="21"/>
        </w:rPr>
        <w:t>。</w:t>
      </w:r>
    </w:p>
    <w:p>
      <w:pPr>
        <w:spacing w:line="360" w:lineRule="auto"/>
        <w:ind w:firstLine="420" w:firstLineChars="200"/>
        <w:rPr>
          <w:rFonts w:ascii="宋体"/>
        </w:rPr>
      </w:pPr>
      <w:bookmarkStart w:id="1214" w:name="_Toc393128330"/>
      <w:bookmarkStart w:id="1215" w:name="_Toc403052576"/>
      <w:bookmarkStart w:id="1216" w:name="_Toc393199985"/>
      <w:bookmarkStart w:id="1217" w:name="_Toc403054336"/>
      <w:bookmarkStart w:id="1218" w:name="_Toc403059519"/>
      <w:bookmarkStart w:id="1219" w:name="_Toc393199472"/>
      <w:bookmarkStart w:id="1220" w:name="_Toc393200499"/>
      <w:bookmarkStart w:id="1221" w:name="_Toc479499197"/>
      <w:bookmarkStart w:id="1222" w:name="_Toc479499583"/>
      <w:r>
        <w:rPr>
          <w:rFonts w:ascii="宋体" w:hAnsi="宋体"/>
        </w:rPr>
        <w:t xml:space="preserve">3.3.2  </w:t>
      </w:r>
      <w:r>
        <w:rPr>
          <w:rFonts w:hint="eastAsia" w:ascii="宋体" w:hAnsi="宋体"/>
        </w:rPr>
        <w:t>资格评审</w:t>
      </w:r>
      <w:bookmarkEnd w:id="1214"/>
      <w:bookmarkEnd w:id="1215"/>
      <w:bookmarkEnd w:id="1216"/>
      <w:bookmarkEnd w:id="1217"/>
      <w:bookmarkEnd w:id="1218"/>
      <w:bookmarkEnd w:id="1219"/>
      <w:bookmarkEnd w:id="1220"/>
      <w:bookmarkEnd w:id="1221"/>
      <w:bookmarkEnd w:id="1222"/>
    </w:p>
    <w:p>
      <w:pPr>
        <w:spacing w:line="360" w:lineRule="auto"/>
        <w:ind w:firstLine="424" w:firstLineChars="202"/>
        <w:rPr>
          <w:rFonts w:ascii="宋体"/>
        </w:rPr>
      </w:pPr>
      <w:r>
        <w:rPr>
          <w:rFonts w:hint="eastAsia" w:ascii="宋体" w:hAnsi="宋体" w:cs="Arial"/>
          <w:szCs w:val="21"/>
        </w:rPr>
        <w:t>评标委员会根据资格评审记录表中规定的评审因素和评审标准，对投标人的投标文件进行资格评审，并使用资格评审记录表记录评审结果。资格评审记录表格式</w:t>
      </w:r>
      <w:r>
        <w:rPr>
          <w:rFonts w:hint="eastAsia" w:ascii="黑体" w:hAnsi="黑体" w:eastAsia="黑体"/>
        </w:rPr>
        <w:t>见评标办法专用部分附表</w:t>
      </w:r>
      <w:r>
        <w:rPr>
          <w:rFonts w:ascii="黑体" w:hAnsi="黑体" w:eastAsia="黑体"/>
        </w:rPr>
        <w:t>5</w:t>
      </w:r>
      <w:r>
        <w:rPr>
          <w:rFonts w:hint="eastAsia" w:ascii="宋体" w:hAnsi="宋体" w:cs="Arial"/>
          <w:szCs w:val="21"/>
        </w:rPr>
        <w:t>。</w:t>
      </w:r>
    </w:p>
    <w:p>
      <w:pPr>
        <w:spacing w:line="360" w:lineRule="auto"/>
        <w:ind w:firstLine="420" w:firstLineChars="200"/>
        <w:rPr>
          <w:rFonts w:ascii="宋体"/>
        </w:rPr>
      </w:pPr>
      <w:bookmarkStart w:id="1223" w:name="_Toc393200500"/>
      <w:bookmarkStart w:id="1224" w:name="_Toc393199986"/>
      <w:bookmarkStart w:id="1225" w:name="_Toc403059520"/>
      <w:bookmarkStart w:id="1226" w:name="_Toc393128331"/>
      <w:bookmarkStart w:id="1227" w:name="_Toc393199473"/>
      <w:bookmarkStart w:id="1228" w:name="_Toc403054337"/>
      <w:bookmarkStart w:id="1229" w:name="_Toc479499584"/>
      <w:bookmarkStart w:id="1230" w:name="_Toc403052577"/>
      <w:bookmarkStart w:id="1231" w:name="_Toc479499198"/>
      <w:r>
        <w:rPr>
          <w:rFonts w:ascii="宋体" w:hAnsi="宋体"/>
        </w:rPr>
        <w:t xml:space="preserve">3.3.3  </w:t>
      </w:r>
      <w:r>
        <w:rPr>
          <w:rFonts w:hint="eastAsia" w:ascii="宋体" w:hAnsi="宋体"/>
        </w:rPr>
        <w:t>响应性评审</w:t>
      </w:r>
      <w:bookmarkEnd w:id="1223"/>
      <w:bookmarkEnd w:id="1224"/>
      <w:bookmarkEnd w:id="1225"/>
      <w:bookmarkEnd w:id="1226"/>
      <w:bookmarkEnd w:id="1227"/>
      <w:bookmarkEnd w:id="1228"/>
      <w:bookmarkEnd w:id="1229"/>
      <w:bookmarkEnd w:id="1230"/>
      <w:bookmarkEnd w:id="1231"/>
    </w:p>
    <w:p>
      <w:pPr>
        <w:spacing w:line="360" w:lineRule="auto"/>
        <w:ind w:firstLine="424" w:firstLineChars="202"/>
        <w:rPr>
          <w:rFonts w:ascii="宋体" w:cs="Arial"/>
          <w:szCs w:val="21"/>
        </w:rPr>
      </w:pPr>
      <w:r>
        <w:rPr>
          <w:rFonts w:hint="eastAsia" w:ascii="宋体" w:hAnsi="宋体" w:cs="Arial"/>
          <w:szCs w:val="21"/>
        </w:rPr>
        <w:t>评标委员会根据响应性评审记录表中规定的评审因素和评审标准，对投标人的投标文件进行响应性评审，并使用响应性评审记录表记录评审结果。响应性评审记录表</w:t>
      </w:r>
      <w:r>
        <w:rPr>
          <w:rFonts w:hint="eastAsia" w:ascii="黑体" w:hAnsi="黑体" w:eastAsia="黑体"/>
        </w:rPr>
        <w:t>见评标办法专用部分附表</w:t>
      </w:r>
      <w:r>
        <w:rPr>
          <w:rFonts w:ascii="黑体" w:hAnsi="黑体" w:eastAsia="黑体"/>
        </w:rPr>
        <w:t>6</w:t>
      </w:r>
      <w:r>
        <w:rPr>
          <w:rFonts w:hint="eastAsia" w:ascii="宋体" w:hAnsi="宋体" w:cs="Arial"/>
          <w:szCs w:val="21"/>
        </w:rPr>
        <w:t>。</w:t>
      </w:r>
    </w:p>
    <w:p>
      <w:pPr>
        <w:spacing w:line="360" w:lineRule="auto"/>
        <w:ind w:firstLine="420" w:firstLineChars="200"/>
        <w:rPr>
          <w:rFonts w:ascii="宋体"/>
        </w:rPr>
      </w:pPr>
      <w:bookmarkStart w:id="1232" w:name="_Toc403054338"/>
      <w:bookmarkStart w:id="1233" w:name="_Toc479499199"/>
      <w:bookmarkStart w:id="1234" w:name="_Toc403059521"/>
      <w:bookmarkStart w:id="1235" w:name="_Toc393128332"/>
      <w:bookmarkStart w:id="1236" w:name="_Toc393199987"/>
      <w:bookmarkStart w:id="1237" w:name="_Toc393200501"/>
      <w:bookmarkStart w:id="1238" w:name="_Toc393199474"/>
      <w:bookmarkStart w:id="1239" w:name="_Toc403052578"/>
      <w:bookmarkStart w:id="1240" w:name="_Toc479499585"/>
      <w:r>
        <w:rPr>
          <w:rFonts w:ascii="宋体" w:hAnsi="宋体"/>
        </w:rPr>
        <w:t xml:space="preserve">3.3.4  </w:t>
      </w:r>
      <w:r>
        <w:rPr>
          <w:rFonts w:hint="eastAsia" w:ascii="宋体" w:hAnsi="宋体"/>
        </w:rPr>
        <w:t>投标偏差分析</w:t>
      </w:r>
      <w:bookmarkEnd w:id="1232"/>
      <w:bookmarkEnd w:id="1233"/>
      <w:bookmarkEnd w:id="1234"/>
      <w:bookmarkEnd w:id="1235"/>
      <w:bookmarkEnd w:id="1236"/>
      <w:bookmarkEnd w:id="1237"/>
      <w:bookmarkEnd w:id="1238"/>
      <w:bookmarkEnd w:id="1239"/>
      <w:bookmarkEnd w:id="1240"/>
    </w:p>
    <w:p>
      <w:pPr>
        <w:spacing w:line="360" w:lineRule="auto"/>
        <w:ind w:firstLine="630" w:firstLineChars="300"/>
        <w:rPr>
          <w:rFonts w:ascii="宋体" w:cs="Arial"/>
          <w:szCs w:val="21"/>
        </w:rPr>
      </w:pPr>
      <w:r>
        <w:rPr>
          <w:rFonts w:ascii="宋体" w:hAnsi="宋体"/>
        </w:rPr>
        <w:t xml:space="preserve">3.3.4.1  </w:t>
      </w:r>
      <w:r>
        <w:rPr>
          <w:rFonts w:hint="eastAsia" w:ascii="宋体" w:hAnsi="宋体" w:cs="Arial"/>
          <w:szCs w:val="21"/>
        </w:rPr>
        <w:t>评标委员会依据招标文件，对所有投标文件进行审查并逐项列出每一份投标文件的全部投标偏差，并使用投标偏差分析表进行记录。投标偏差分为重大偏差和细微偏差。投标偏差分析表</w:t>
      </w:r>
      <w:r>
        <w:rPr>
          <w:rFonts w:hint="eastAsia" w:ascii="黑体" w:hAnsi="黑体" w:eastAsia="黑体"/>
        </w:rPr>
        <w:t>见评标办法专用部分附表</w:t>
      </w:r>
      <w:r>
        <w:rPr>
          <w:rFonts w:ascii="黑体" w:hAnsi="黑体" w:eastAsia="黑体"/>
        </w:rPr>
        <w:t>7</w:t>
      </w:r>
      <w:r>
        <w:rPr>
          <w:rFonts w:hint="eastAsia" w:ascii="宋体" w:hAnsi="宋体" w:cs="Arial"/>
          <w:szCs w:val="21"/>
        </w:rPr>
        <w:t>。</w:t>
      </w:r>
    </w:p>
    <w:p>
      <w:pPr>
        <w:spacing w:line="360" w:lineRule="auto"/>
        <w:ind w:firstLine="630" w:firstLineChars="300"/>
        <w:rPr>
          <w:rFonts w:ascii="宋体" w:cs="Arial"/>
          <w:szCs w:val="21"/>
        </w:rPr>
      </w:pPr>
      <w:r>
        <w:rPr>
          <w:rFonts w:ascii="宋体" w:hAnsi="宋体"/>
        </w:rPr>
        <w:t xml:space="preserve">3.3.4.2  </w:t>
      </w:r>
      <w:r>
        <w:rPr>
          <w:rFonts w:hint="eastAsia" w:ascii="宋体" w:hAnsi="宋体" w:cs="Arial"/>
          <w:szCs w:val="21"/>
        </w:rPr>
        <w:t>判断投标是否应予</w:t>
      </w:r>
      <w:r>
        <w:rPr>
          <w:rFonts w:hint="eastAsia" w:ascii="宋体" w:hAnsi="宋体"/>
          <w:szCs w:val="21"/>
        </w:rPr>
        <w:t>否决</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重大偏差是指对本招标工程的承包范围、工期、质量及实施产生了重大影响，或者对招标文件中规定的招标人权利及投标人义务等造成重大削弱或限制的偏差，而且纠正此类偏差将会对响应本次招标的其他投标人的竞争地位产生不公正的影响。符合本章专用部分附件</w:t>
      </w:r>
      <w:r>
        <w:rPr>
          <w:rFonts w:ascii="宋体" w:hAnsi="宋体" w:cs="Arial"/>
          <w:szCs w:val="21"/>
        </w:rPr>
        <w:t>A</w:t>
      </w:r>
      <w:r>
        <w:rPr>
          <w:rFonts w:hint="eastAsia" w:ascii="宋体" w:hAnsi="宋体" w:cs="Arial"/>
          <w:szCs w:val="21"/>
        </w:rPr>
        <w:t>中规定的</w:t>
      </w:r>
      <w:r>
        <w:rPr>
          <w:rFonts w:hint="eastAsia" w:ascii="宋体" w:hAnsi="宋体"/>
          <w:szCs w:val="21"/>
        </w:rPr>
        <w:t>否决投标条件的</w:t>
      </w:r>
      <w:r>
        <w:rPr>
          <w:rFonts w:hint="eastAsia" w:ascii="宋体" w:hAnsi="宋体" w:cs="Arial"/>
          <w:szCs w:val="21"/>
        </w:rPr>
        <w:t>，属于重大偏差。</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）判断投标人的投标是否应予以否决的条件在本章专用部分附件</w:t>
      </w:r>
      <w:r>
        <w:rPr>
          <w:rFonts w:ascii="宋体" w:hAnsi="宋体" w:cs="Arial"/>
          <w:szCs w:val="21"/>
        </w:rPr>
        <w:t>A</w:t>
      </w:r>
      <w:r>
        <w:rPr>
          <w:rFonts w:hint="eastAsia" w:ascii="宋体" w:hAnsi="宋体" w:cs="Arial"/>
          <w:szCs w:val="21"/>
        </w:rPr>
        <w:t>中集中列示。</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）本章专用部分附件</w:t>
      </w:r>
      <w:r>
        <w:rPr>
          <w:rFonts w:ascii="宋体" w:hAnsi="宋体" w:cs="Arial"/>
          <w:szCs w:val="21"/>
        </w:rPr>
        <w:t>A</w:t>
      </w:r>
      <w:r>
        <w:rPr>
          <w:rFonts w:hint="eastAsia" w:ascii="宋体" w:hAnsi="宋体" w:cs="Arial"/>
          <w:szCs w:val="21"/>
        </w:rPr>
        <w:t>集中列示的</w:t>
      </w:r>
      <w:r>
        <w:rPr>
          <w:rFonts w:hint="eastAsia" w:ascii="宋体" w:hAnsi="宋体"/>
          <w:szCs w:val="21"/>
        </w:rPr>
        <w:t>否决投标</w:t>
      </w:r>
      <w:r>
        <w:rPr>
          <w:rFonts w:hint="eastAsia" w:ascii="宋体" w:hAnsi="宋体" w:cs="Arial"/>
          <w:szCs w:val="21"/>
        </w:rPr>
        <w:t>条件不应与第二章“投标人须知”和本章通用部分包括的</w:t>
      </w:r>
      <w:r>
        <w:rPr>
          <w:rFonts w:hint="eastAsia" w:ascii="宋体" w:hAnsi="宋体"/>
          <w:szCs w:val="21"/>
        </w:rPr>
        <w:t>否决投标</w:t>
      </w:r>
      <w:r>
        <w:rPr>
          <w:rFonts w:hint="eastAsia" w:ascii="宋体" w:hAnsi="宋体" w:cs="Arial"/>
          <w:szCs w:val="21"/>
        </w:rPr>
        <w:t>条件抵触，如果出现相互矛盾的情况，以本章专用部分附件</w:t>
      </w:r>
      <w:r>
        <w:rPr>
          <w:rFonts w:ascii="宋体" w:hAnsi="宋体" w:cs="Arial"/>
          <w:szCs w:val="21"/>
        </w:rPr>
        <w:t>A</w:t>
      </w:r>
      <w:r>
        <w:rPr>
          <w:rFonts w:hint="eastAsia" w:ascii="宋体" w:hAnsi="宋体" w:cs="Arial"/>
          <w:szCs w:val="21"/>
        </w:rPr>
        <w:t>的规定为准。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）评标委员会在评标（包括初步评审和详细评审）过程中，依据本章专用部分附件</w:t>
      </w:r>
      <w:r>
        <w:rPr>
          <w:rFonts w:ascii="宋体" w:hAnsi="宋体" w:cs="Arial"/>
          <w:szCs w:val="21"/>
        </w:rPr>
        <w:t>A</w:t>
      </w:r>
      <w:r>
        <w:rPr>
          <w:rFonts w:hint="eastAsia" w:ascii="宋体" w:hAnsi="宋体" w:cs="Arial"/>
          <w:szCs w:val="21"/>
        </w:rPr>
        <w:t>中规定的</w:t>
      </w:r>
      <w:r>
        <w:rPr>
          <w:rFonts w:hint="eastAsia" w:ascii="宋体" w:hAnsi="宋体"/>
          <w:szCs w:val="21"/>
        </w:rPr>
        <w:t>否决投标</w:t>
      </w:r>
      <w:r>
        <w:rPr>
          <w:rFonts w:hint="eastAsia" w:ascii="宋体" w:hAnsi="宋体" w:cs="Arial"/>
          <w:szCs w:val="21"/>
        </w:rPr>
        <w:t>条件判断是否应当否决投标人的投标，并使用投标偏差分析表、使用评审意见表对否决投标情况进行记录。评审意见表格式</w:t>
      </w:r>
      <w:r>
        <w:rPr>
          <w:rFonts w:hint="eastAsia" w:ascii="黑体" w:hAnsi="黑体" w:eastAsia="黑体"/>
        </w:rPr>
        <w:t>见评标办法专用部分附表</w:t>
      </w:r>
      <w:r>
        <w:rPr>
          <w:rFonts w:ascii="黑体" w:hAnsi="黑体" w:eastAsia="黑体"/>
        </w:rPr>
        <w:t>15</w:t>
      </w:r>
      <w:r>
        <w:rPr>
          <w:rFonts w:hint="eastAsia" w:ascii="宋体" w:hAnsi="宋体" w:cs="Arial"/>
          <w:szCs w:val="21"/>
        </w:rPr>
        <w:t>。</w:t>
      </w:r>
    </w:p>
    <w:p>
      <w:pPr>
        <w:spacing w:line="360" w:lineRule="auto"/>
        <w:ind w:firstLine="630" w:firstLineChars="300"/>
        <w:rPr>
          <w:rFonts w:ascii="宋体"/>
        </w:rPr>
      </w:pPr>
      <w:r>
        <w:rPr>
          <w:rFonts w:ascii="宋体" w:hAnsi="宋体"/>
        </w:rPr>
        <w:t xml:space="preserve">3.3.4.3  </w:t>
      </w:r>
      <w:r>
        <w:rPr>
          <w:rFonts w:hint="eastAsia" w:ascii="宋体" w:hAnsi="宋体" w:cs="Arial"/>
          <w:bCs/>
          <w:szCs w:val="21"/>
        </w:rPr>
        <w:t>细微偏差是指投标文件在实质上响应招标文件要求，但在个别地方存在漏项或者提供了不完整的技术信息和数据等情况，并且补正这些遗漏和不完整不会对其他投标人造成不公平的结果。细微偏差不影响投标文件的有效性。</w:t>
      </w:r>
      <w:r>
        <w:rPr>
          <w:rFonts w:hint="eastAsia" w:ascii="宋体" w:hAnsi="宋体"/>
          <w:bCs/>
          <w:szCs w:val="21"/>
        </w:rPr>
        <w:t>评标委员会应当书面要求存在细微偏差的投标人在评标结束前予以补正。</w:t>
      </w:r>
    </w:p>
    <w:p>
      <w:pPr>
        <w:spacing w:line="360" w:lineRule="auto"/>
        <w:ind w:firstLine="420" w:firstLineChars="200"/>
        <w:rPr>
          <w:rFonts w:ascii="宋体"/>
        </w:rPr>
      </w:pPr>
      <w:bookmarkStart w:id="1241" w:name="_Toc393199475"/>
      <w:bookmarkStart w:id="1242" w:name="_Toc403052579"/>
      <w:bookmarkStart w:id="1243" w:name="_Toc393200502"/>
      <w:bookmarkStart w:id="1244" w:name="_Toc479499586"/>
      <w:bookmarkStart w:id="1245" w:name="_Toc479499200"/>
      <w:bookmarkStart w:id="1246" w:name="_Toc393128333"/>
      <w:bookmarkStart w:id="1247" w:name="_Toc403059522"/>
      <w:bookmarkStart w:id="1248" w:name="_Toc403054339"/>
      <w:bookmarkStart w:id="1249" w:name="_Toc393199988"/>
      <w:r>
        <w:rPr>
          <w:rFonts w:ascii="宋体" w:hAnsi="宋体"/>
        </w:rPr>
        <w:t xml:space="preserve">3.3.5  </w:t>
      </w:r>
      <w:r>
        <w:rPr>
          <w:rFonts w:hint="eastAsia" w:ascii="宋体" w:hAnsi="宋体"/>
        </w:rPr>
        <w:t>对投标文件进行基础性数据分析和整理工作（清单比对）</w:t>
      </w:r>
      <w:bookmarkEnd w:id="1241"/>
      <w:bookmarkEnd w:id="1242"/>
      <w:bookmarkEnd w:id="1243"/>
      <w:bookmarkEnd w:id="1244"/>
      <w:bookmarkEnd w:id="1245"/>
      <w:bookmarkEnd w:id="1246"/>
      <w:bookmarkEnd w:id="1247"/>
      <w:bookmarkEnd w:id="1248"/>
      <w:bookmarkEnd w:id="1249"/>
    </w:p>
    <w:p>
      <w:pPr>
        <w:spacing w:line="360" w:lineRule="auto"/>
        <w:ind w:firstLine="630" w:firstLineChars="300"/>
        <w:rPr>
          <w:rFonts w:ascii="宋体" w:cs="Arial"/>
          <w:bCs/>
          <w:kern w:val="0"/>
          <w:szCs w:val="21"/>
        </w:rPr>
      </w:pPr>
      <w:r>
        <w:rPr>
          <w:rFonts w:ascii="宋体" w:hAnsi="宋体"/>
        </w:rPr>
        <w:t xml:space="preserve">3.3.5.1  </w:t>
      </w:r>
      <w:r>
        <w:rPr>
          <w:rFonts w:hint="eastAsia" w:ascii="宋体" w:hAnsi="宋体" w:cs="Arial"/>
          <w:szCs w:val="21"/>
        </w:rPr>
        <w:t>在不改变投标人投标文件实质性内容的前提下，评标委员会应当</w:t>
      </w:r>
      <w:r>
        <w:rPr>
          <w:rFonts w:hint="eastAsia" w:ascii="宋体" w:hAnsi="宋体" w:cs="Arial"/>
          <w:iCs/>
          <w:szCs w:val="28"/>
        </w:rPr>
        <w:t>借助电子化评标系统</w:t>
      </w:r>
      <w:r>
        <w:rPr>
          <w:rFonts w:hint="eastAsia" w:ascii="宋体" w:hAnsi="宋体" w:cs="Arial"/>
          <w:szCs w:val="21"/>
        </w:rPr>
        <w:t>对投标文件进行基础性数据分析和整理（</w:t>
      </w:r>
      <w:r>
        <w:rPr>
          <w:rFonts w:hint="eastAsia" w:ascii="宋体" w:hAnsi="宋体" w:cs="Arial"/>
          <w:bCs/>
          <w:kern w:val="0"/>
          <w:szCs w:val="21"/>
        </w:rPr>
        <w:t>本章中简称为“清单比对”）</w:t>
      </w:r>
      <w:r>
        <w:rPr>
          <w:rFonts w:hint="eastAsia" w:ascii="宋体" w:hAnsi="宋体" w:cs="Arial"/>
          <w:szCs w:val="21"/>
        </w:rPr>
        <w:t>，从而发现并提取其中可能存在的对投标报价的算术性错误、错漏项、投标报价构成不合理、不平衡报价等明显异常的问题，并就这些问题整理形成清单比对成果。评标委员会对清单比对成果审议后，决定需要投标人书面澄清、说明或补正的问题，形成质疑问卷，通过电子化平台向投标人发出问题澄清通知（包括质疑问卷）。质疑函不得向投标人提出带有暗示性或诱导性问题，或向其明确投标文件中的遗漏和错误。</w:t>
      </w:r>
    </w:p>
    <w:p>
      <w:pPr>
        <w:spacing w:line="360" w:lineRule="auto"/>
        <w:ind w:firstLine="630" w:firstLineChars="300"/>
        <w:rPr>
          <w:rFonts w:ascii="宋体" w:cs="Arial"/>
          <w:szCs w:val="21"/>
        </w:rPr>
      </w:pPr>
      <w:r>
        <w:rPr>
          <w:rFonts w:ascii="宋体" w:hAnsi="宋体"/>
        </w:rPr>
        <w:t xml:space="preserve">3.3.5.2  </w:t>
      </w:r>
      <w:r>
        <w:rPr>
          <w:rFonts w:hint="eastAsia" w:ascii="宋体" w:hAnsi="宋体" w:cs="Arial"/>
          <w:szCs w:val="21"/>
        </w:rPr>
        <w:t>投标人接到评标委员会发出的问题澄清通知后，应按评标委员会的要求在规定的时间通过电子化平台上传澄清资料。</w:t>
      </w:r>
    </w:p>
    <w:p>
      <w:pPr>
        <w:spacing w:line="360" w:lineRule="auto"/>
        <w:ind w:firstLine="420" w:firstLineChars="200"/>
        <w:rPr>
          <w:rFonts w:ascii="宋体"/>
        </w:rPr>
      </w:pPr>
      <w:bookmarkStart w:id="1250" w:name="_Toc393199476"/>
      <w:bookmarkStart w:id="1251" w:name="_Toc479499201"/>
      <w:bookmarkStart w:id="1252" w:name="_Toc393128334"/>
      <w:bookmarkStart w:id="1253" w:name="_Toc403052580"/>
      <w:bookmarkStart w:id="1254" w:name="_Toc393199989"/>
      <w:bookmarkStart w:id="1255" w:name="_Toc403059523"/>
      <w:bookmarkStart w:id="1256" w:name="_Toc403054340"/>
      <w:bookmarkStart w:id="1257" w:name="_Toc479499587"/>
      <w:bookmarkStart w:id="1258" w:name="_Toc393200503"/>
      <w:r>
        <w:rPr>
          <w:rFonts w:ascii="宋体" w:hAnsi="宋体"/>
        </w:rPr>
        <w:t xml:space="preserve">3.3.6  </w:t>
      </w:r>
      <w:r>
        <w:rPr>
          <w:rFonts w:hint="eastAsia" w:ascii="宋体" w:hAnsi="宋体"/>
        </w:rPr>
        <w:t>算术错误修正</w:t>
      </w:r>
      <w:bookmarkEnd w:id="1250"/>
      <w:bookmarkEnd w:id="1251"/>
      <w:bookmarkEnd w:id="1252"/>
      <w:bookmarkEnd w:id="1253"/>
      <w:bookmarkEnd w:id="1254"/>
      <w:bookmarkEnd w:id="1255"/>
      <w:bookmarkEnd w:id="1256"/>
      <w:bookmarkEnd w:id="1257"/>
      <w:bookmarkEnd w:id="1258"/>
    </w:p>
    <w:p>
      <w:pPr>
        <w:spacing w:line="360" w:lineRule="auto"/>
        <w:ind w:firstLine="630" w:firstLineChars="300"/>
        <w:rPr>
          <w:rFonts w:ascii="宋体" w:cs="Arial"/>
          <w:szCs w:val="21"/>
        </w:rPr>
      </w:pPr>
      <w:r>
        <w:rPr>
          <w:rFonts w:ascii="宋体" w:hAnsi="宋体"/>
        </w:rPr>
        <w:t xml:space="preserve">3.3.6.1  </w:t>
      </w:r>
      <w:r>
        <w:rPr>
          <w:rFonts w:hint="eastAsia" w:ascii="宋体" w:hAnsi="宋体" w:cs="Arial"/>
          <w:szCs w:val="21"/>
        </w:rPr>
        <w:t>评标委员会依据本章中规定的相关原则对投标报价中存在的算术错误进行修正，并根据算术错误修正结果计算评标价。</w:t>
      </w:r>
    </w:p>
    <w:p>
      <w:pPr>
        <w:spacing w:line="360" w:lineRule="auto"/>
        <w:ind w:firstLine="642" w:firstLineChars="300"/>
        <w:rPr>
          <w:rFonts w:ascii="宋体"/>
          <w:spacing w:val="2"/>
        </w:rPr>
      </w:pPr>
      <w:r>
        <w:rPr>
          <w:rFonts w:ascii="宋体" w:hAnsi="宋体"/>
          <w:spacing w:val="2"/>
        </w:rPr>
        <w:t xml:space="preserve">3.3.6.2  </w:t>
      </w:r>
      <w:r>
        <w:rPr>
          <w:rFonts w:hint="eastAsia" w:ascii="宋体" w:hAnsi="宋体"/>
          <w:spacing w:val="2"/>
        </w:rPr>
        <w:t>投标报价有算术错误的，评标委员会按以下原则对投标报价进行修正，修正的价格经投标人书面确认后具有约束力。投标人不接受修正价格的，其投标作否决投标处理。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）投标文件中的大写金额与小写金额不一致的，以大写金额为准；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）总价金额与依据单价计算出的结果不一致的，以单价金额为准修正总价，但单价金额小数点有明显错误的除外。</w:t>
      </w:r>
    </w:p>
    <w:p>
      <w:pPr>
        <w:pStyle w:val="155"/>
        <w:adjustRightInd w:val="0"/>
        <w:snapToGrid w:val="0"/>
        <w:spacing w:before="120" w:after="120"/>
        <w:jc w:val="left"/>
      </w:pPr>
      <w:bookmarkStart w:id="1259" w:name="_Toc362252719"/>
      <w:bookmarkStart w:id="1260" w:name="_Toc393199477"/>
      <w:bookmarkStart w:id="1261" w:name="_Toc483675423"/>
      <w:bookmarkStart w:id="1262" w:name="_Toc393200504"/>
      <w:bookmarkStart w:id="1263" w:name="_Toc117350397"/>
      <w:bookmarkStart w:id="1264" w:name="_Toc490222478"/>
      <w:bookmarkStart w:id="1265" w:name="_Toc403059524"/>
      <w:bookmarkStart w:id="1266" w:name="_Toc403054341"/>
      <w:bookmarkStart w:id="1267" w:name="_Toc393199990"/>
      <w:bookmarkStart w:id="1268" w:name="_Toc403052581"/>
      <w:bookmarkStart w:id="1269" w:name="_Toc486580032"/>
      <w:bookmarkStart w:id="1270" w:name="_Toc489279844"/>
      <w:bookmarkStart w:id="1271" w:name="_Toc393128335"/>
      <w:r>
        <w:t xml:space="preserve">3.4  </w:t>
      </w:r>
      <w:r>
        <w:rPr>
          <w:rFonts w:hint="eastAsia"/>
        </w:rPr>
        <w:t>详细评审</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pPr>
        <w:spacing w:line="360" w:lineRule="auto"/>
        <w:ind w:firstLine="420" w:firstLineChars="200"/>
        <w:rPr>
          <w:rFonts w:ascii="宋体"/>
        </w:rPr>
      </w:pPr>
      <w:r>
        <w:rPr>
          <w:rFonts w:ascii="宋体" w:hAnsi="宋体"/>
        </w:rPr>
        <w:t xml:space="preserve">3.4.1  </w:t>
      </w:r>
      <w:r>
        <w:rPr>
          <w:rFonts w:hint="eastAsia" w:ascii="宋体" w:hAnsi="宋体"/>
        </w:rPr>
        <w:t>详细评审程序</w:t>
      </w:r>
    </w:p>
    <w:p>
      <w:pPr>
        <w:spacing w:line="360" w:lineRule="auto"/>
        <w:ind w:firstLine="630" w:firstLineChars="300"/>
        <w:rPr>
          <w:rFonts w:ascii="宋体"/>
        </w:rPr>
      </w:pPr>
      <w:r>
        <w:rPr>
          <w:rFonts w:ascii="宋体" w:hAnsi="宋体"/>
        </w:rPr>
        <w:t xml:space="preserve">3.4.1.1  </w:t>
      </w:r>
      <w:r>
        <w:rPr>
          <w:rFonts w:hint="eastAsia" w:ascii="宋体" w:hAnsi="宋体"/>
        </w:rPr>
        <w:t>只有通过了初步评审、被判定为合格的投标方可进入详细评审。</w:t>
      </w:r>
    </w:p>
    <w:p>
      <w:pPr>
        <w:spacing w:line="360" w:lineRule="auto"/>
        <w:ind w:firstLine="630" w:firstLineChars="300"/>
        <w:rPr>
          <w:rFonts w:ascii="宋体"/>
        </w:rPr>
      </w:pPr>
      <w:r>
        <w:rPr>
          <w:rFonts w:ascii="宋体" w:hAnsi="宋体"/>
        </w:rPr>
        <w:t xml:space="preserve">3.4.1.2  </w:t>
      </w:r>
      <w:r>
        <w:rPr>
          <w:rFonts w:hint="eastAsia" w:ascii="宋体" w:hAnsi="宋体"/>
        </w:rPr>
        <w:t>评标委员会按照以下程序进行详细评审：</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）施工组织设计评审和评分；（适用于施工组织设计打分制）</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）施工组织设计评审；</w:t>
      </w:r>
      <w:r>
        <w:rPr>
          <w:rFonts w:hint="eastAsia" w:ascii="宋体" w:hAnsi="宋体"/>
          <w:szCs w:val="21"/>
        </w:rPr>
        <w:t>（适用于施工组织设计合格制）</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）项目管理机构评审和评分；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）投标报价评审和评分，并对明显低于其他投标报价的投标报价，或者在设有标底时明显低于标底的投标报价，判断是否低于其个别成本；</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）信誉评审和评分；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）其他因素评审和评分；</w:t>
      </w:r>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）汇总评分结果。</w:t>
      </w:r>
    </w:p>
    <w:p>
      <w:pPr>
        <w:spacing w:line="360" w:lineRule="auto"/>
        <w:ind w:firstLine="420" w:firstLineChars="200"/>
        <w:rPr>
          <w:rFonts w:ascii="宋体"/>
        </w:rPr>
      </w:pPr>
      <w:r>
        <w:rPr>
          <w:rFonts w:ascii="宋体" w:hAnsi="宋体"/>
        </w:rPr>
        <w:t xml:space="preserve">3.4.2  </w:t>
      </w:r>
      <w:r>
        <w:rPr>
          <w:rFonts w:hint="eastAsia" w:ascii="宋体" w:hAnsi="宋体"/>
        </w:rPr>
        <w:t>施工组织设计评审和评分</w:t>
      </w:r>
    </w:p>
    <w:p>
      <w:pPr>
        <w:spacing w:line="360" w:lineRule="auto"/>
        <w:ind w:firstLine="630" w:firstLineChars="300"/>
        <w:rPr>
          <w:rFonts w:ascii="宋体"/>
        </w:rPr>
      </w:pPr>
      <w:r>
        <w:rPr>
          <w:rFonts w:ascii="宋体" w:hAnsi="宋体"/>
        </w:rPr>
        <w:t xml:space="preserve">3.4.2.1  </w:t>
      </w:r>
      <w:r>
        <w:rPr>
          <w:rFonts w:hint="eastAsia" w:ascii="宋体" w:hAnsi="宋体"/>
        </w:rPr>
        <w:t>按照施工组织设计评审记录表中规定的分值设定、各项评分因素、评分标准，对施工组织设计进行评审和评分，并使用施工组织设计评审记录表记录对施工组织设计的评分结果。施工组织设计评审记录表格式</w:t>
      </w:r>
      <w:r>
        <w:rPr>
          <w:rFonts w:hint="eastAsia" w:ascii="黑体" w:hAnsi="黑体" w:eastAsia="黑体"/>
        </w:rPr>
        <w:t>见评标办法专用部分附表</w:t>
      </w:r>
      <w:r>
        <w:rPr>
          <w:rFonts w:ascii="黑体" w:hAnsi="黑体" w:eastAsia="黑体"/>
        </w:rPr>
        <w:t>8</w:t>
      </w:r>
      <w:r>
        <w:rPr>
          <w:rFonts w:hint="eastAsia" w:ascii="黑体" w:hAnsi="黑体" w:eastAsia="黑体"/>
        </w:rPr>
        <w:t>。</w:t>
      </w:r>
      <w:r>
        <w:rPr>
          <w:rFonts w:hint="eastAsia" w:ascii="宋体" w:hAnsi="宋体"/>
        </w:rPr>
        <w:t>（适用于施工组织设计打分制）</w:t>
      </w:r>
    </w:p>
    <w:p>
      <w:pPr>
        <w:spacing w:line="360" w:lineRule="auto"/>
        <w:ind w:firstLine="630" w:firstLineChars="300"/>
        <w:rPr>
          <w:rFonts w:ascii="宋体"/>
        </w:rPr>
      </w:pPr>
      <w:r>
        <w:rPr>
          <w:rFonts w:hint="eastAsia" w:ascii="宋体" w:hAnsi="宋体"/>
        </w:rPr>
        <w:t>在施工组织设计评审过程中，针对每个评分项目评标委员会个别成员的单项评分与其余评标委员会成员的单项评分平均差异在</w:t>
      </w:r>
      <w:r>
        <w:rPr>
          <w:rFonts w:ascii="宋体" w:hAnsi="宋体"/>
        </w:rPr>
        <w:t>20%</w:t>
      </w:r>
      <w:r>
        <w:rPr>
          <w:rFonts w:hint="eastAsia" w:ascii="宋体" w:hAnsi="宋体"/>
        </w:rPr>
        <w:t>以上或者有重大意见分歧时，评标委员会负责人应当提醒其进行复核，经复核后该评标委员会成员仍坚持其独立意见的，应当作出书面说明。但是该成员所评出的总分顺序与其他成员相对一致、不影响中标结果的，应当视为合理。</w:t>
      </w:r>
    </w:p>
    <w:p>
      <w:pPr>
        <w:spacing w:line="360" w:lineRule="auto"/>
        <w:ind w:firstLine="630" w:firstLineChars="300"/>
        <w:rPr>
          <w:rFonts w:ascii="宋体"/>
        </w:rPr>
      </w:pPr>
      <w:r>
        <w:rPr>
          <w:rFonts w:ascii="宋体" w:hAnsi="宋体"/>
        </w:rPr>
        <w:t xml:space="preserve">3.4.2.1  </w:t>
      </w:r>
      <w:r>
        <w:rPr>
          <w:rFonts w:hint="eastAsia" w:ascii="宋体" w:hAnsi="宋体"/>
        </w:rPr>
        <w:t>按照施工组织设计评审记录表中规定的各项评审因素、评审标准，对施工组织设计进行评审，并使用施工组织设计评审记录表记录对施工组织设计的评审结果。当评标委员会成员之间的评审结论不一致时，按照少数服从多数的原则，得出最终评审结论。施工组织设计评审记录表格式</w:t>
      </w:r>
      <w:r>
        <w:rPr>
          <w:rFonts w:hint="eastAsia" w:ascii="黑体" w:hAnsi="黑体" w:eastAsia="黑体"/>
        </w:rPr>
        <w:t>见评标办法专用部分附表</w:t>
      </w:r>
      <w:r>
        <w:rPr>
          <w:rFonts w:ascii="黑体" w:hAnsi="黑体" w:eastAsia="黑体"/>
        </w:rPr>
        <w:t>8</w:t>
      </w:r>
      <w:r>
        <w:rPr>
          <w:rFonts w:hint="eastAsia" w:ascii="黑体" w:hAnsi="黑体" w:eastAsia="黑体"/>
        </w:rPr>
        <w:t>。</w:t>
      </w:r>
      <w:r>
        <w:rPr>
          <w:rFonts w:hint="eastAsia" w:ascii="宋体" w:hAnsi="宋体"/>
        </w:rPr>
        <w:t>（适用于施工组织设计合格制）</w:t>
      </w:r>
    </w:p>
    <w:p>
      <w:pPr>
        <w:spacing w:line="360" w:lineRule="auto"/>
        <w:ind w:firstLine="420" w:firstLineChars="200"/>
        <w:rPr>
          <w:rFonts w:ascii="宋体"/>
        </w:rPr>
      </w:pPr>
      <w:r>
        <w:rPr>
          <w:rFonts w:ascii="宋体" w:hAnsi="宋体"/>
        </w:rPr>
        <w:t xml:space="preserve">3.4.3  </w:t>
      </w:r>
      <w:r>
        <w:rPr>
          <w:rFonts w:hint="eastAsia" w:ascii="宋体" w:hAnsi="宋体"/>
        </w:rPr>
        <w:t>项目管理机构评审和评分</w:t>
      </w:r>
    </w:p>
    <w:p>
      <w:pPr>
        <w:spacing w:line="360" w:lineRule="auto"/>
        <w:ind w:firstLine="420" w:firstLineChars="200"/>
        <w:rPr>
          <w:rFonts w:ascii="宋体" w:cs="Arial"/>
          <w:szCs w:val="21"/>
        </w:rPr>
      </w:pPr>
      <w:r>
        <w:rPr>
          <w:rFonts w:hint="eastAsia" w:ascii="宋体" w:hAnsi="宋体" w:cs="Arial"/>
          <w:szCs w:val="21"/>
        </w:rPr>
        <w:t>按照项目管理机构评审记录表中规定的分值设定、各项评分因素、评分标准，对项目管理机构进行评审和评分，并使用项目管理机构评审记录表记录对项目管理机构的评分结果。项目管理机构评审记录表格式</w:t>
      </w:r>
      <w:r>
        <w:rPr>
          <w:rFonts w:hint="eastAsia" w:ascii="黑体" w:hAnsi="黑体" w:eastAsia="黑体"/>
        </w:rPr>
        <w:t>见评标办法专用部分附表</w:t>
      </w:r>
      <w:r>
        <w:rPr>
          <w:rFonts w:ascii="黑体" w:hAnsi="黑体" w:eastAsia="黑体"/>
        </w:rPr>
        <w:t>9</w:t>
      </w:r>
      <w:r>
        <w:rPr>
          <w:rFonts w:hint="eastAsia" w:ascii="宋体" w:hAnsi="宋体" w:cs="Arial"/>
          <w:szCs w:val="21"/>
        </w:rPr>
        <w:t>。</w:t>
      </w:r>
    </w:p>
    <w:p>
      <w:pPr>
        <w:spacing w:line="360" w:lineRule="auto"/>
        <w:ind w:firstLine="420" w:firstLineChars="200"/>
        <w:rPr>
          <w:rFonts w:ascii="宋体"/>
        </w:rPr>
      </w:pPr>
      <w:r>
        <w:rPr>
          <w:rFonts w:ascii="宋体" w:hAnsi="宋体"/>
        </w:rPr>
        <w:t xml:space="preserve">3.4.4  </w:t>
      </w:r>
      <w:r>
        <w:rPr>
          <w:rFonts w:hint="eastAsia" w:ascii="宋体" w:hAnsi="宋体"/>
        </w:rPr>
        <w:t>投标报价评审和评分（仅按投标总报价进行评分）</w:t>
      </w:r>
    </w:p>
    <w:p>
      <w:pPr>
        <w:spacing w:line="360" w:lineRule="auto"/>
        <w:ind w:firstLine="630" w:firstLineChars="300"/>
        <w:rPr>
          <w:rFonts w:ascii="宋体" w:cs="Arial"/>
          <w:szCs w:val="21"/>
        </w:rPr>
      </w:pPr>
      <w:r>
        <w:rPr>
          <w:rFonts w:ascii="宋体" w:hAnsi="宋体"/>
        </w:rPr>
        <w:t xml:space="preserve">3.4.4.1  </w:t>
      </w:r>
      <w:r>
        <w:rPr>
          <w:rFonts w:hint="eastAsia" w:ascii="宋体" w:hAnsi="宋体" w:cs="Arial"/>
          <w:szCs w:val="21"/>
        </w:rPr>
        <w:t>按照评标办法专用部分中规定的方法计算“评标基准价”。</w:t>
      </w:r>
    </w:p>
    <w:p>
      <w:pPr>
        <w:spacing w:line="360" w:lineRule="auto"/>
        <w:ind w:firstLine="630" w:firstLineChars="300"/>
        <w:rPr>
          <w:rFonts w:ascii="宋体" w:cs="Arial"/>
          <w:szCs w:val="21"/>
        </w:rPr>
      </w:pPr>
      <w:r>
        <w:rPr>
          <w:rFonts w:ascii="宋体" w:hAnsi="宋体"/>
        </w:rPr>
        <w:t xml:space="preserve">3.4.4.2  </w:t>
      </w:r>
      <w:r>
        <w:rPr>
          <w:rFonts w:hint="eastAsia" w:ascii="宋体" w:hAnsi="宋体" w:cs="Arial"/>
          <w:szCs w:val="21"/>
        </w:rPr>
        <w:t>按照评标办法专用部分中规定的方法，计算各个已通过了初步评审、施工组织设计评审和项目管理机构评审并且经过评审认定为不低于其成本的投标报价的“偏差率”。</w:t>
      </w:r>
    </w:p>
    <w:p>
      <w:pPr>
        <w:spacing w:line="360" w:lineRule="auto"/>
        <w:ind w:firstLine="630" w:firstLineChars="300"/>
        <w:rPr>
          <w:rFonts w:ascii="宋体"/>
          <w:szCs w:val="21"/>
        </w:rPr>
      </w:pPr>
      <w:r>
        <w:rPr>
          <w:rFonts w:ascii="宋体" w:hAnsi="宋体"/>
        </w:rPr>
        <w:t xml:space="preserve">3.4.4.3  </w:t>
      </w:r>
      <w:r>
        <w:rPr>
          <w:rFonts w:hint="eastAsia" w:ascii="宋体" w:hAnsi="宋体" w:cs="Arial"/>
          <w:szCs w:val="21"/>
        </w:rPr>
        <w:t>按照</w:t>
      </w:r>
      <w:r>
        <w:rPr>
          <w:rFonts w:hint="eastAsia" w:ascii="宋体" w:hAnsi="宋体"/>
          <w:szCs w:val="21"/>
        </w:rPr>
        <w:t>投标报价评分记录中规定的评分标准，对照投标报价的偏差率，分别对各个投标报价进行评分，使用投标报价评分记录表</w:t>
      </w:r>
      <w:r>
        <w:rPr>
          <w:rFonts w:hint="eastAsia" w:ascii="宋体" w:hAnsi="宋体" w:cs="Arial"/>
          <w:szCs w:val="21"/>
        </w:rPr>
        <w:t>记录对投标报价的评分结果</w:t>
      </w:r>
      <w:r>
        <w:rPr>
          <w:rFonts w:hint="eastAsia" w:ascii="宋体" w:hAnsi="宋体"/>
          <w:szCs w:val="21"/>
        </w:rPr>
        <w:t>。投标报价评分记录表格式</w:t>
      </w:r>
      <w:r>
        <w:rPr>
          <w:rFonts w:hint="eastAsia" w:ascii="黑体" w:hAnsi="黑体" w:eastAsia="黑体"/>
        </w:rPr>
        <w:t>见评标办法专用部分附表</w:t>
      </w:r>
      <w:r>
        <w:rPr>
          <w:rFonts w:ascii="黑体" w:hAnsi="黑体" w:eastAsia="黑体"/>
        </w:rPr>
        <w:t>10</w:t>
      </w:r>
      <w:r>
        <w:rPr>
          <w:rFonts w:hint="eastAsia" w:ascii="宋体" w:hAnsi="宋体"/>
          <w:szCs w:val="21"/>
        </w:rPr>
        <w:t>。</w:t>
      </w:r>
    </w:p>
    <w:p>
      <w:pPr>
        <w:spacing w:line="360" w:lineRule="auto"/>
        <w:ind w:firstLine="420" w:firstLineChars="200"/>
        <w:rPr>
          <w:rFonts w:ascii="宋体"/>
        </w:rPr>
      </w:pPr>
      <w:r>
        <w:rPr>
          <w:rFonts w:ascii="宋体" w:hAnsi="宋体"/>
        </w:rPr>
        <w:t xml:space="preserve">3.4.4  </w:t>
      </w:r>
      <w:r>
        <w:rPr>
          <w:rFonts w:hint="eastAsia" w:ascii="宋体" w:hAnsi="宋体"/>
        </w:rPr>
        <w:t>投标报价评审和评分（按投标总报价中的分项报价分别进行评分）</w:t>
      </w:r>
    </w:p>
    <w:p>
      <w:pPr>
        <w:spacing w:line="360" w:lineRule="auto"/>
        <w:ind w:firstLine="630" w:firstLineChars="300"/>
        <w:rPr>
          <w:rFonts w:ascii="宋体"/>
        </w:rPr>
      </w:pPr>
      <w:r>
        <w:rPr>
          <w:rFonts w:ascii="宋体" w:hAnsi="宋体"/>
        </w:rPr>
        <w:t xml:space="preserve">3.4.4.1  </w:t>
      </w:r>
      <w:r>
        <w:rPr>
          <w:rFonts w:hint="eastAsia" w:ascii="宋体" w:hAnsi="宋体"/>
        </w:rPr>
        <w:t>按照评标办法专用部分中规定的方法，分别计算各个分项投标报价“评标基准价”。</w:t>
      </w:r>
    </w:p>
    <w:p>
      <w:pPr>
        <w:spacing w:line="360" w:lineRule="auto"/>
        <w:ind w:firstLine="630" w:firstLineChars="300"/>
        <w:rPr>
          <w:rFonts w:ascii="宋体" w:cs="Arial"/>
          <w:szCs w:val="21"/>
        </w:rPr>
      </w:pPr>
      <w:r>
        <w:rPr>
          <w:rFonts w:ascii="宋体" w:hAnsi="宋体"/>
        </w:rPr>
        <w:t xml:space="preserve">3.4.4.2  </w:t>
      </w:r>
      <w:r>
        <w:rPr>
          <w:rFonts w:hint="eastAsia" w:ascii="宋体" w:hAnsi="宋体"/>
        </w:rPr>
        <w:t>按照评标办法专用部分中规定的方法，分别计算各个分项投标报价与对</w:t>
      </w:r>
      <w:r>
        <w:rPr>
          <w:rFonts w:hint="eastAsia" w:ascii="宋体" w:hAnsi="宋体" w:cs="Arial"/>
          <w:szCs w:val="21"/>
        </w:rPr>
        <w:t>应的分项投标报价评标基准价之间的偏差率。</w:t>
      </w:r>
    </w:p>
    <w:p>
      <w:pPr>
        <w:spacing w:line="360" w:lineRule="auto"/>
        <w:ind w:firstLine="630" w:firstLineChars="300"/>
        <w:rPr>
          <w:rFonts w:ascii="宋体" w:cs="Arial"/>
          <w:szCs w:val="21"/>
        </w:rPr>
      </w:pPr>
      <w:r>
        <w:rPr>
          <w:rFonts w:ascii="宋体" w:hAnsi="宋体"/>
        </w:rPr>
        <w:t xml:space="preserve">3.4.4.3  </w:t>
      </w:r>
      <w:r>
        <w:rPr>
          <w:rFonts w:hint="eastAsia" w:ascii="宋体" w:hAnsi="宋体" w:cs="Arial"/>
          <w:szCs w:val="21"/>
        </w:rPr>
        <w:t>按照</w:t>
      </w:r>
      <w:r>
        <w:rPr>
          <w:rFonts w:hint="eastAsia" w:ascii="宋体" w:hAnsi="宋体"/>
          <w:szCs w:val="21"/>
        </w:rPr>
        <w:t>投标报价评分记录中规定的评分标准，对照分项投标报价的偏差率，分别对各个分项投标报价进行评分，汇总各个分项投标报价的得分，使用投标报价评分记录记录</w:t>
      </w:r>
      <w:r>
        <w:rPr>
          <w:rFonts w:hint="eastAsia" w:ascii="宋体" w:hAnsi="宋体" w:cs="Arial"/>
          <w:szCs w:val="21"/>
        </w:rPr>
        <w:t>对各个投标报价的评分结果。</w:t>
      </w:r>
    </w:p>
    <w:p>
      <w:pPr>
        <w:spacing w:line="360" w:lineRule="auto"/>
        <w:ind w:firstLine="420" w:firstLineChars="200"/>
        <w:rPr>
          <w:rFonts w:ascii="宋体" w:cs="Arial"/>
          <w:szCs w:val="21"/>
        </w:rPr>
      </w:pPr>
      <w:r>
        <w:rPr>
          <w:rFonts w:ascii="宋体" w:hAnsi="宋体"/>
        </w:rPr>
        <w:t xml:space="preserve">3.4.5  </w:t>
      </w:r>
      <w:r>
        <w:rPr>
          <w:rFonts w:hint="eastAsia" w:ascii="宋体" w:hAnsi="宋体" w:cs="Arial"/>
          <w:szCs w:val="21"/>
        </w:rPr>
        <w:t>信誉</w:t>
      </w:r>
      <w:r>
        <w:rPr>
          <w:rFonts w:hint="eastAsia" w:ascii="宋体" w:hAnsi="宋体"/>
        </w:rPr>
        <w:t>评审和评分</w:t>
      </w:r>
    </w:p>
    <w:p>
      <w:pPr>
        <w:spacing w:line="360" w:lineRule="auto"/>
        <w:ind w:firstLine="420" w:firstLineChars="200"/>
        <w:rPr>
          <w:rFonts w:ascii="宋体"/>
          <w:szCs w:val="21"/>
        </w:rPr>
      </w:pPr>
      <w:r>
        <w:rPr>
          <w:rFonts w:hint="eastAsia" w:ascii="宋体" w:hAnsi="宋体"/>
        </w:rPr>
        <w:t>按照</w:t>
      </w:r>
      <w:r>
        <w:rPr>
          <w:rFonts w:hint="eastAsia" w:ascii="宋体" w:hAnsi="宋体" w:cs="Arial"/>
          <w:szCs w:val="21"/>
        </w:rPr>
        <w:t>信誉评审</w:t>
      </w:r>
      <w:r>
        <w:rPr>
          <w:rFonts w:hint="eastAsia" w:ascii="宋体" w:hAnsi="宋体"/>
          <w:szCs w:val="21"/>
        </w:rPr>
        <w:t>记录表</w:t>
      </w:r>
      <w:r>
        <w:rPr>
          <w:rFonts w:hint="eastAsia" w:ascii="宋体" w:hAnsi="宋体"/>
        </w:rPr>
        <w:t>中规定的分值设定、各项评分因素、评分标准，对</w:t>
      </w:r>
      <w:r>
        <w:rPr>
          <w:rFonts w:hint="eastAsia" w:ascii="宋体" w:hAnsi="宋体" w:cs="Arial"/>
          <w:szCs w:val="21"/>
        </w:rPr>
        <w:t>信誉</w:t>
      </w:r>
      <w:r>
        <w:rPr>
          <w:rFonts w:hint="eastAsia" w:ascii="宋体" w:hAnsi="宋体"/>
        </w:rPr>
        <w:t>进行评审和评分，并使用</w:t>
      </w:r>
      <w:r>
        <w:rPr>
          <w:rFonts w:hint="eastAsia" w:ascii="宋体" w:hAnsi="宋体" w:cs="Arial"/>
          <w:szCs w:val="21"/>
        </w:rPr>
        <w:t>信誉评审</w:t>
      </w:r>
      <w:r>
        <w:rPr>
          <w:rFonts w:hint="eastAsia" w:ascii="宋体" w:hAnsi="宋体"/>
          <w:szCs w:val="21"/>
        </w:rPr>
        <w:t>记录表</w:t>
      </w:r>
      <w:r>
        <w:rPr>
          <w:rFonts w:hint="eastAsia" w:ascii="宋体" w:hAnsi="宋体"/>
        </w:rPr>
        <w:t>记录对信誉的评分结果。</w:t>
      </w:r>
      <w:r>
        <w:rPr>
          <w:rFonts w:hint="eastAsia" w:ascii="宋体" w:hAnsi="宋体" w:cs="Arial"/>
          <w:szCs w:val="21"/>
        </w:rPr>
        <w:t>信誉</w:t>
      </w:r>
      <w:r>
        <w:rPr>
          <w:rFonts w:hint="eastAsia" w:ascii="宋体" w:hAnsi="宋体"/>
          <w:szCs w:val="21"/>
        </w:rPr>
        <w:t>评审记录表格式</w:t>
      </w:r>
      <w:r>
        <w:rPr>
          <w:rFonts w:hint="eastAsia" w:ascii="黑体" w:hAnsi="黑体" w:eastAsia="黑体"/>
          <w:szCs w:val="21"/>
        </w:rPr>
        <w:t>见评标办法专用部分附表</w:t>
      </w:r>
      <w:r>
        <w:rPr>
          <w:rFonts w:ascii="黑体" w:hAnsi="黑体" w:eastAsia="黑体"/>
          <w:szCs w:val="21"/>
        </w:rPr>
        <w:t>11</w:t>
      </w:r>
      <w:r>
        <w:rPr>
          <w:rFonts w:hint="eastAsia" w:ascii="宋体" w:hAnsi="宋体"/>
          <w:szCs w:val="21"/>
        </w:rPr>
        <w:t>。</w:t>
      </w:r>
    </w:p>
    <w:p>
      <w:pPr>
        <w:spacing w:line="360" w:lineRule="auto"/>
        <w:ind w:firstLine="420" w:firstLineChars="200"/>
        <w:rPr>
          <w:rFonts w:ascii="宋体"/>
        </w:rPr>
      </w:pPr>
      <w:r>
        <w:rPr>
          <w:rFonts w:ascii="宋体" w:hAnsi="宋体"/>
        </w:rPr>
        <w:t xml:space="preserve">3.4.6  </w:t>
      </w:r>
      <w:r>
        <w:rPr>
          <w:rFonts w:hint="eastAsia" w:ascii="宋体" w:hAnsi="宋体"/>
        </w:rPr>
        <w:t>其他因素的评审和评分</w:t>
      </w:r>
    </w:p>
    <w:p>
      <w:pPr>
        <w:pStyle w:val="147"/>
        <w:autoSpaceDE w:val="0"/>
        <w:autoSpaceDN w:val="0"/>
        <w:adjustRightInd w:val="0"/>
        <w:spacing w:line="360" w:lineRule="auto"/>
        <w:ind w:left="0" w:firstLine="420" w:firstLineChars="200"/>
        <w:rPr>
          <w:rFonts w:ascii="宋体" w:cs="Arial"/>
          <w:szCs w:val="21"/>
        </w:rPr>
      </w:pPr>
      <w:r>
        <w:rPr>
          <w:rFonts w:hint="eastAsia" w:ascii="宋体" w:hAnsi="宋体"/>
        </w:rPr>
        <w:t>根据</w:t>
      </w:r>
      <w:r>
        <w:rPr>
          <w:rFonts w:hint="eastAsia" w:ascii="宋体" w:hAnsi="宋体"/>
          <w:szCs w:val="21"/>
        </w:rPr>
        <w:t>其他因素评审记录表</w:t>
      </w:r>
      <w:r>
        <w:rPr>
          <w:rFonts w:hint="eastAsia" w:ascii="宋体" w:hAnsi="宋体"/>
        </w:rPr>
        <w:t>中规定各项评分因素、评分标准和相应的分值设定，对其他因素（如有）进行评审和评分，并使用</w:t>
      </w:r>
      <w:r>
        <w:rPr>
          <w:rFonts w:hint="eastAsia" w:ascii="宋体" w:hAnsi="宋体"/>
          <w:szCs w:val="21"/>
        </w:rPr>
        <w:t>其他因素评审记录表</w:t>
      </w:r>
      <w:r>
        <w:rPr>
          <w:rFonts w:hint="eastAsia" w:ascii="宋体" w:hAnsi="宋体"/>
        </w:rPr>
        <w:t>记录其评分结果，</w:t>
      </w:r>
      <w:r>
        <w:rPr>
          <w:rFonts w:hint="eastAsia" w:ascii="宋体" w:hAnsi="宋体"/>
          <w:szCs w:val="21"/>
        </w:rPr>
        <w:t>其他因素评审记录表格式</w:t>
      </w:r>
      <w:r>
        <w:rPr>
          <w:rFonts w:hint="eastAsia" w:ascii="黑体" w:hAnsi="黑体" w:eastAsia="黑体"/>
          <w:szCs w:val="24"/>
        </w:rPr>
        <w:t>见评标办法专用部分附表</w:t>
      </w:r>
      <w:r>
        <w:rPr>
          <w:rFonts w:ascii="黑体" w:hAnsi="黑体" w:eastAsia="黑体"/>
          <w:szCs w:val="24"/>
        </w:rPr>
        <w:t>12</w:t>
      </w:r>
      <w:r>
        <w:rPr>
          <w:rFonts w:hint="eastAsia" w:ascii="宋体" w:hAnsi="宋体"/>
          <w:szCs w:val="21"/>
        </w:rPr>
        <w:t>。</w:t>
      </w:r>
    </w:p>
    <w:p>
      <w:pPr>
        <w:spacing w:line="360" w:lineRule="auto"/>
        <w:ind w:firstLine="420" w:firstLineChars="200"/>
        <w:rPr>
          <w:rFonts w:ascii="宋体"/>
        </w:rPr>
      </w:pPr>
      <w:r>
        <w:rPr>
          <w:rFonts w:ascii="宋体" w:hAnsi="宋体"/>
        </w:rPr>
        <w:t xml:space="preserve">3.4.7  </w:t>
      </w:r>
      <w:r>
        <w:rPr>
          <w:rFonts w:hint="eastAsia" w:ascii="宋体" w:hAnsi="宋体"/>
        </w:rPr>
        <w:t>判断投标报价是否低于成本</w:t>
      </w:r>
    </w:p>
    <w:p>
      <w:pPr>
        <w:spacing w:line="360" w:lineRule="auto"/>
        <w:ind w:firstLine="420" w:firstLineChars="200"/>
        <w:rPr>
          <w:rFonts w:ascii="宋体" w:hAnsi="宋体" w:cs="Arial"/>
          <w:szCs w:val="21"/>
        </w:rPr>
      </w:pPr>
      <w:r>
        <w:rPr>
          <w:rFonts w:hint="eastAsia" w:ascii="宋体" w:hAnsi="宋体" w:cs="Arial"/>
          <w:szCs w:val="21"/>
        </w:rPr>
        <w:t>评标</w:t>
      </w:r>
      <w:r>
        <w:rPr>
          <w:rFonts w:hint="eastAsia" w:ascii="宋体" w:hAnsi="宋体"/>
          <w:szCs w:val="21"/>
        </w:rPr>
        <w:t>委员会</w:t>
      </w:r>
      <w:r>
        <w:rPr>
          <w:rFonts w:hint="eastAsia" w:ascii="宋体" w:hAnsi="宋体" w:cs="Arial"/>
          <w:szCs w:val="21"/>
        </w:rPr>
        <w:t>发现投标人的报价明显低于其他投标报价，或者在设有标底或最高投标限价时明显低于标底或最高投标限价，使得其投标报价可能低于其个别成本的，应当要求该投标人作出说明并</w:t>
      </w:r>
      <w:r>
        <w:rPr>
          <w:rFonts w:hint="eastAsia" w:ascii="宋体" w:hAnsi="宋体"/>
        </w:rPr>
        <w:t>提供</w:t>
      </w:r>
      <w:r>
        <w:rPr>
          <w:rFonts w:hint="eastAsia" w:ascii="宋体" w:hAnsi="宋体" w:cs="Arial"/>
          <w:szCs w:val="21"/>
        </w:rPr>
        <w:t>相应的证明材料。投标人不能合理说明或者不能提供相应证明材料的，评标委员会应当认定该投标人以低于成本报价竞标，否决其投标。</w:t>
      </w:r>
    </w:p>
    <w:p>
      <w:pPr>
        <w:spacing w:line="360" w:lineRule="auto"/>
        <w:ind w:firstLine="420" w:firstLineChars="200"/>
        <w:rPr>
          <w:rFonts w:ascii="宋体" w:cs="Arial"/>
          <w:szCs w:val="21"/>
        </w:rPr>
      </w:pPr>
      <w:bookmarkStart w:id="1272" w:name="_Hlk117080865"/>
      <w:r>
        <w:rPr>
          <w:rFonts w:hint="eastAsia" w:ascii="宋体" w:cs="Arial"/>
          <w:szCs w:val="21"/>
        </w:rPr>
        <w:t>评标委员会应当根据本章专用部分附件B中规定的程序、标准和方法，判断投标报价是否低于其成本。</w:t>
      </w:r>
    </w:p>
    <w:bookmarkEnd w:id="1272"/>
    <w:p>
      <w:pPr>
        <w:spacing w:line="360" w:lineRule="auto"/>
        <w:ind w:firstLine="420" w:firstLineChars="200"/>
        <w:rPr>
          <w:rFonts w:ascii="宋体"/>
        </w:rPr>
      </w:pPr>
      <w:r>
        <w:rPr>
          <w:rFonts w:ascii="宋体" w:hAnsi="宋体"/>
        </w:rPr>
        <w:t xml:space="preserve">3.4.8  </w:t>
      </w:r>
      <w:r>
        <w:rPr>
          <w:rFonts w:hint="eastAsia" w:ascii="宋体" w:hAnsi="宋体"/>
        </w:rPr>
        <w:t>汇总评分结果</w:t>
      </w:r>
    </w:p>
    <w:p>
      <w:pPr>
        <w:spacing w:line="360" w:lineRule="auto"/>
        <w:ind w:firstLine="630" w:firstLineChars="300"/>
        <w:rPr>
          <w:rFonts w:ascii="宋体"/>
          <w:szCs w:val="21"/>
        </w:rPr>
      </w:pPr>
      <w:r>
        <w:rPr>
          <w:rFonts w:ascii="宋体" w:hAnsi="宋体"/>
        </w:rPr>
        <w:t xml:space="preserve">3.4.8.1  </w:t>
      </w:r>
      <w:r>
        <w:rPr>
          <w:rFonts w:hint="eastAsia" w:ascii="宋体" w:hAnsi="宋体" w:cs="Arial"/>
          <w:szCs w:val="21"/>
        </w:rPr>
        <w:t>评标委员会成员应按</w:t>
      </w:r>
      <w:r>
        <w:rPr>
          <w:rFonts w:hint="eastAsia" w:ascii="宋体" w:hAnsi="宋体"/>
          <w:szCs w:val="21"/>
        </w:rPr>
        <w:t>照</w:t>
      </w:r>
      <w:r>
        <w:rPr>
          <w:rFonts w:hint="eastAsia" w:ascii="宋体" w:hAnsi="宋体"/>
        </w:rPr>
        <w:t>详细评审评分汇总表</w:t>
      </w:r>
      <w:r>
        <w:rPr>
          <w:rFonts w:hint="eastAsia" w:ascii="宋体" w:hAnsi="宋体"/>
          <w:szCs w:val="21"/>
        </w:rPr>
        <w:t>的格式填写详细评审评分汇总表。</w:t>
      </w:r>
      <w:r>
        <w:rPr>
          <w:rFonts w:hint="eastAsia" w:ascii="宋体" w:hAnsi="宋体"/>
        </w:rPr>
        <w:t>详细评审评分汇总表格式</w:t>
      </w:r>
      <w:r>
        <w:rPr>
          <w:rFonts w:hint="eastAsia" w:ascii="黑体" w:hAnsi="黑体" w:eastAsia="黑体"/>
        </w:rPr>
        <w:t>见评标办法专用部分附表</w:t>
      </w:r>
      <w:r>
        <w:rPr>
          <w:rFonts w:ascii="黑体" w:hAnsi="黑体" w:eastAsia="黑体"/>
        </w:rPr>
        <w:t>13</w:t>
      </w:r>
      <w:r>
        <w:rPr>
          <w:rFonts w:hint="eastAsia" w:ascii="宋体" w:hAnsi="宋体"/>
          <w:szCs w:val="21"/>
        </w:rPr>
        <w:t>。</w:t>
      </w:r>
    </w:p>
    <w:p>
      <w:pPr>
        <w:spacing w:line="360" w:lineRule="auto"/>
        <w:ind w:firstLine="630" w:firstLineChars="300"/>
        <w:rPr>
          <w:rFonts w:ascii="宋体" w:hAnsi="宋体"/>
          <w:szCs w:val="21"/>
        </w:rPr>
      </w:pPr>
      <w:r>
        <w:rPr>
          <w:rFonts w:ascii="宋体" w:hAnsi="宋体"/>
        </w:rPr>
        <w:t xml:space="preserve">3.4.8.2  </w:t>
      </w:r>
      <w:r>
        <w:rPr>
          <w:rFonts w:hint="eastAsia" w:ascii="宋体" w:hAnsi="宋体"/>
          <w:szCs w:val="21"/>
        </w:rPr>
        <w:t>详细评审工作全部结束后，按照评标结果汇总表的</w:t>
      </w:r>
      <w:r>
        <w:rPr>
          <w:rFonts w:hint="eastAsia" w:ascii="宋体" w:hAnsi="宋体" w:cs="Arial"/>
          <w:szCs w:val="21"/>
        </w:rPr>
        <w:t>格式汇总各个评标委员会成员的详细评审评分结果，</w:t>
      </w:r>
      <w:bookmarkStart w:id="1273" w:name="_Hlk103354240"/>
      <w:r>
        <w:rPr>
          <w:rFonts w:hint="eastAsia" w:ascii="宋体" w:hAnsi="宋体"/>
        </w:rPr>
        <w:t>并计算投标人得分平均值填入评标结果汇总表，投标人得分平均值计算方法</w:t>
      </w:r>
      <w:r>
        <w:rPr>
          <w:rFonts w:hint="eastAsia" w:ascii="黑体" w:hAnsi="黑体" w:eastAsia="黑体"/>
        </w:rPr>
        <w:t>见评标办法专用部分。同时按照</w:t>
      </w:r>
      <w:r>
        <w:rPr>
          <w:rFonts w:hint="eastAsia" w:ascii="宋体" w:hAnsi="宋体"/>
        </w:rPr>
        <w:t>投标人得分平均值</w:t>
      </w:r>
      <w:bookmarkEnd w:id="1273"/>
      <w:r>
        <w:rPr>
          <w:rFonts w:hint="eastAsia" w:ascii="宋体" w:hAnsi="宋体" w:cs="Arial"/>
          <w:szCs w:val="21"/>
        </w:rPr>
        <w:t>由高至低的次序对投标人进行排序。如果出现最终得分相同的情况时，</w:t>
      </w:r>
      <w:r>
        <w:rPr>
          <w:rFonts w:hint="eastAsia" w:ascii="宋体" w:hAnsi="宋体"/>
          <w:szCs w:val="21"/>
        </w:rPr>
        <w:t>以投标报价低的优先；投标报价也相等的确定排序的方法</w:t>
      </w:r>
      <w:r>
        <w:rPr>
          <w:rFonts w:hint="eastAsia" w:ascii="黑体" w:hAnsi="黑体" w:eastAsia="黑体"/>
        </w:rPr>
        <w:t>见评标办法专用部分</w:t>
      </w:r>
      <w:r>
        <w:rPr>
          <w:rFonts w:hint="eastAsia" w:ascii="宋体" w:hAnsi="宋体" w:cs="Arial"/>
          <w:szCs w:val="21"/>
        </w:rPr>
        <w:t>。</w:t>
      </w:r>
      <w:r>
        <w:rPr>
          <w:rFonts w:hint="eastAsia" w:ascii="宋体" w:hAnsi="宋体"/>
          <w:szCs w:val="21"/>
        </w:rPr>
        <w:t>评标结果汇总表格式</w:t>
      </w:r>
      <w:r>
        <w:rPr>
          <w:rFonts w:hint="eastAsia" w:ascii="黑体" w:hAnsi="黑体" w:eastAsia="黑体"/>
        </w:rPr>
        <w:t>见评标办法专用部分附表</w:t>
      </w:r>
      <w:r>
        <w:rPr>
          <w:rFonts w:ascii="黑体" w:hAnsi="黑体" w:eastAsia="黑体"/>
        </w:rPr>
        <w:t>14</w:t>
      </w:r>
      <w:r>
        <w:rPr>
          <w:rFonts w:hint="eastAsia" w:ascii="宋体" w:hAnsi="宋体"/>
          <w:szCs w:val="21"/>
        </w:rPr>
        <w:t>。</w:t>
      </w:r>
    </w:p>
    <w:p>
      <w:pPr>
        <w:spacing w:line="360" w:lineRule="auto"/>
        <w:ind w:firstLine="630" w:firstLineChars="300"/>
        <w:rPr>
          <w:rFonts w:ascii="宋体"/>
        </w:rPr>
      </w:pPr>
      <w:r>
        <w:rPr>
          <w:rFonts w:ascii="宋体" w:hAnsi="宋体"/>
          <w:szCs w:val="21"/>
        </w:rPr>
        <w:t xml:space="preserve">3.4.8.3  </w:t>
      </w:r>
      <w:r>
        <w:rPr>
          <w:rFonts w:hint="eastAsia" w:ascii="宋体" w:hAnsi="宋体"/>
          <w:szCs w:val="21"/>
        </w:rPr>
        <w:t>评审结果汇总工作完成后，评标委员会成员还应当将评审过程中发现的主要问题，形成评审意见记录在评审意见表中。评审意见表格式</w:t>
      </w:r>
      <w:r>
        <w:rPr>
          <w:rFonts w:hint="eastAsia" w:ascii="黑体" w:hAnsi="黑体" w:eastAsia="黑体"/>
          <w:szCs w:val="21"/>
        </w:rPr>
        <w:t>见评标办法专用部分附表</w:t>
      </w:r>
      <w:r>
        <w:rPr>
          <w:rFonts w:ascii="黑体" w:hAnsi="黑体" w:eastAsia="黑体"/>
          <w:szCs w:val="21"/>
        </w:rPr>
        <w:t>15</w:t>
      </w:r>
      <w:r>
        <w:rPr>
          <w:rFonts w:hint="eastAsia" w:ascii="黑体" w:hAnsi="黑体" w:eastAsia="黑体"/>
          <w:szCs w:val="21"/>
        </w:rPr>
        <w:t>。</w:t>
      </w:r>
    </w:p>
    <w:p>
      <w:pPr>
        <w:pStyle w:val="155"/>
        <w:adjustRightInd w:val="0"/>
        <w:snapToGrid w:val="0"/>
        <w:spacing w:before="120" w:after="120"/>
        <w:jc w:val="left"/>
      </w:pPr>
      <w:bookmarkStart w:id="1274" w:name="_Toc403052582"/>
      <w:bookmarkStart w:id="1275" w:name="_Toc393199991"/>
      <w:bookmarkStart w:id="1276" w:name="_Toc490222479"/>
      <w:bookmarkStart w:id="1277" w:name="_Toc393199478"/>
      <w:bookmarkStart w:id="1278" w:name="_Toc393128336"/>
      <w:bookmarkStart w:id="1279" w:name="_Toc489279845"/>
      <w:bookmarkStart w:id="1280" w:name="_Toc486580033"/>
      <w:bookmarkStart w:id="1281" w:name="_Toc393200505"/>
      <w:bookmarkStart w:id="1282" w:name="_Toc403059525"/>
      <w:bookmarkStart w:id="1283" w:name="_Toc117350398"/>
      <w:bookmarkStart w:id="1284" w:name="_Toc483675424"/>
      <w:bookmarkStart w:id="1285" w:name="_Toc403054342"/>
      <w:r>
        <w:t xml:space="preserve">3.5  </w:t>
      </w:r>
      <w:r>
        <w:rPr>
          <w:rFonts w:hint="eastAsia"/>
        </w:rPr>
        <w:t>投标文件的澄清和补正</w:t>
      </w:r>
      <w:bookmarkEnd w:id="1274"/>
      <w:bookmarkEnd w:id="1275"/>
      <w:bookmarkEnd w:id="1276"/>
      <w:bookmarkEnd w:id="1277"/>
      <w:bookmarkEnd w:id="1278"/>
      <w:bookmarkEnd w:id="1279"/>
      <w:bookmarkEnd w:id="1280"/>
      <w:bookmarkEnd w:id="1281"/>
      <w:bookmarkEnd w:id="1282"/>
      <w:bookmarkEnd w:id="1283"/>
      <w:bookmarkEnd w:id="1284"/>
      <w:bookmarkEnd w:id="1285"/>
    </w:p>
    <w:p>
      <w:pPr>
        <w:spacing w:line="360" w:lineRule="auto"/>
        <w:ind w:firstLine="420" w:firstLineChars="200"/>
        <w:rPr>
          <w:rFonts w:ascii="宋体" w:hAnsi="宋体"/>
        </w:rPr>
      </w:pPr>
      <w:r>
        <w:rPr>
          <w:rFonts w:ascii="宋体" w:hAnsi="宋体"/>
        </w:rPr>
        <w:t xml:space="preserve">3.5.1  </w:t>
      </w:r>
      <w:r>
        <w:rPr>
          <w:rFonts w:hint="eastAsia" w:ascii="宋体" w:hAnsi="宋体"/>
        </w:rPr>
        <w:t>在评标过程中，评标委员会可</w:t>
      </w:r>
      <w:r>
        <w:rPr>
          <w:rFonts w:hint="eastAsia" w:ascii="宋体" w:hAnsi="宋体" w:cs="Arial"/>
          <w:iCs/>
          <w:szCs w:val="28"/>
        </w:rPr>
        <w:t>通过电子化平台</w:t>
      </w:r>
      <w:r>
        <w:rPr>
          <w:rFonts w:hint="eastAsia" w:ascii="宋体" w:hAnsi="宋体"/>
        </w:rPr>
        <w:t>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rPr>
      </w:pPr>
      <w:bookmarkStart w:id="1286" w:name="_Hlk114648247"/>
      <w:r>
        <w:rPr>
          <w:rFonts w:ascii="宋体" w:hAnsi="宋体"/>
        </w:rPr>
        <w:t xml:space="preserve">3.5.2  </w:t>
      </w:r>
      <w:r>
        <w:rPr>
          <w:rFonts w:hint="eastAsia" w:ascii="宋体" w:hAnsi="宋体"/>
        </w:rPr>
        <w:t>评标委员会发现投标文件中含义不明确、对同类问题表述不一致、有明显文字和计算错误、</w:t>
      </w:r>
      <w:bookmarkStart w:id="1287" w:name="_Hlk114066967"/>
      <w:r>
        <w:rPr>
          <w:rFonts w:hint="eastAsia" w:ascii="宋体" w:hAnsi="宋体"/>
        </w:rPr>
        <w:t>投标报价可能低于成本影响履约的，应当先要求投标人进行澄清、说明，不得直接否决投标。</w:t>
      </w:r>
      <w:bookmarkEnd w:id="1287"/>
    </w:p>
    <w:bookmarkEnd w:id="1286"/>
    <w:p>
      <w:pPr>
        <w:spacing w:line="360" w:lineRule="auto"/>
        <w:ind w:firstLine="420" w:firstLineChars="200"/>
        <w:rPr>
          <w:rFonts w:ascii="宋体"/>
        </w:rPr>
      </w:pPr>
      <w:r>
        <w:rPr>
          <w:rFonts w:ascii="宋体" w:hAnsi="宋体"/>
        </w:rPr>
        <w:t xml:space="preserve">3.5.3  </w:t>
      </w:r>
      <w:r>
        <w:rPr>
          <w:rFonts w:hint="eastAsia" w:ascii="宋体" w:hAnsi="宋体"/>
        </w:rPr>
        <w:t>澄清、说明和补正不得改变投标文件的实质性内容（算术性错误修正的除外）。投标人</w:t>
      </w:r>
      <w:r>
        <w:rPr>
          <w:rFonts w:hint="eastAsia" w:ascii="宋体" w:hAnsi="宋体" w:cs="Arial"/>
          <w:iCs/>
          <w:szCs w:val="28"/>
        </w:rPr>
        <w:t>通过电子化平台对评标委员会提出的质疑进行的</w:t>
      </w:r>
      <w:r>
        <w:rPr>
          <w:rFonts w:hint="eastAsia" w:ascii="宋体" w:hAnsi="宋体"/>
        </w:rPr>
        <w:t>澄清、说明和补正属于投标文件的组成部分。</w:t>
      </w:r>
      <w:r>
        <w:rPr>
          <w:rFonts w:hint="eastAsia" w:ascii="宋体" w:hAnsi="宋体" w:cs="Arial"/>
          <w:iCs/>
          <w:szCs w:val="28"/>
        </w:rPr>
        <w:t>联合体投标的，应当由联合体共同投标协议书约定的牵头人以联合体的名义，进行澄清、说明或补正，并按照投标文件投标函的</w:t>
      </w:r>
      <w:r>
        <w:rPr>
          <w:rFonts w:ascii="宋体" w:hAnsi="宋体" w:cs="Arial"/>
          <w:iCs/>
          <w:szCs w:val="28"/>
        </w:rPr>
        <w:t>CA</w:t>
      </w:r>
      <w:r>
        <w:rPr>
          <w:rFonts w:hint="eastAsia" w:ascii="宋体" w:hAnsi="宋体"/>
          <w:szCs w:val="21"/>
        </w:rPr>
        <w:t>电子</w:t>
      </w:r>
      <w:r>
        <w:rPr>
          <w:rFonts w:hint="eastAsia" w:ascii="宋体" w:hAnsi="宋体" w:cs="Arial"/>
          <w:iCs/>
          <w:szCs w:val="28"/>
        </w:rPr>
        <w:t>印章方式盖章，由联合体牵头人或联合体所有成员盖企业</w:t>
      </w:r>
      <w:r>
        <w:rPr>
          <w:rFonts w:ascii="宋体" w:hAnsi="宋体" w:cs="Arial"/>
          <w:iCs/>
          <w:szCs w:val="28"/>
        </w:rPr>
        <w:t>CA</w:t>
      </w:r>
      <w:r>
        <w:rPr>
          <w:rFonts w:hint="eastAsia" w:ascii="宋体" w:hAnsi="宋体"/>
          <w:szCs w:val="21"/>
        </w:rPr>
        <w:t>电子</w:t>
      </w:r>
      <w:r>
        <w:rPr>
          <w:rFonts w:hint="eastAsia" w:ascii="宋体" w:hAnsi="宋体" w:cs="Arial"/>
          <w:iCs/>
          <w:szCs w:val="28"/>
        </w:rPr>
        <w:t>印章后，通过电子化平台进行澄清、说明或补正。</w:t>
      </w:r>
    </w:p>
    <w:p>
      <w:pPr>
        <w:spacing w:line="360" w:lineRule="auto"/>
        <w:ind w:firstLine="420" w:firstLineChars="200"/>
        <w:rPr>
          <w:rFonts w:ascii="宋体"/>
        </w:rPr>
      </w:pPr>
      <w:r>
        <w:rPr>
          <w:rFonts w:ascii="宋体" w:hAnsi="宋体"/>
        </w:rPr>
        <w:t xml:space="preserve">3.5.4  </w:t>
      </w:r>
      <w:r>
        <w:rPr>
          <w:rFonts w:hint="eastAsia" w:ascii="宋体" w:hAnsi="宋体"/>
        </w:rPr>
        <w:t>评标委员会对投标人提交的澄清、说明或补正有疑问的，可以要求投标人进一步澄清、说明或补正，直至满足评标委员会的要求。</w:t>
      </w:r>
    </w:p>
    <w:p>
      <w:pPr>
        <w:spacing w:line="360" w:lineRule="auto"/>
        <w:ind w:firstLine="420" w:firstLineChars="200"/>
        <w:rPr>
          <w:rFonts w:ascii="宋体"/>
        </w:rPr>
      </w:pPr>
      <w:r>
        <w:rPr>
          <w:rFonts w:ascii="宋体" w:hAnsi="宋体"/>
        </w:rPr>
        <w:t xml:space="preserve">3.5.5  </w:t>
      </w:r>
      <w:r>
        <w:rPr>
          <w:rFonts w:hint="eastAsia" w:ascii="宋体" w:hAnsi="宋体"/>
        </w:rPr>
        <w:t>问题澄清通知格式</w:t>
      </w:r>
      <w:r>
        <w:rPr>
          <w:rFonts w:hint="eastAsia" w:ascii="黑体" w:hAnsi="黑体" w:eastAsia="黑体"/>
        </w:rPr>
        <w:t>见评标办法专用部分附表</w:t>
      </w:r>
      <w:r>
        <w:rPr>
          <w:rFonts w:ascii="黑体" w:hAnsi="黑体" w:eastAsia="黑体"/>
        </w:rPr>
        <w:t>16</w:t>
      </w:r>
      <w:r>
        <w:rPr>
          <w:rFonts w:hint="eastAsia" w:ascii="宋体" w:hAnsi="宋体"/>
          <w:szCs w:val="21"/>
        </w:rPr>
        <w:t>。</w:t>
      </w:r>
    </w:p>
    <w:p>
      <w:pPr>
        <w:spacing w:line="360" w:lineRule="auto"/>
        <w:ind w:firstLine="420" w:firstLineChars="200"/>
        <w:rPr>
          <w:rFonts w:ascii="宋体"/>
        </w:rPr>
      </w:pPr>
      <w:r>
        <w:rPr>
          <w:rFonts w:ascii="宋体" w:hAnsi="宋体"/>
        </w:rPr>
        <w:t xml:space="preserve">3.5.6  </w:t>
      </w:r>
      <w:r>
        <w:rPr>
          <w:rFonts w:hint="eastAsia" w:ascii="宋体" w:hAnsi="宋体"/>
        </w:rPr>
        <w:t>问题的澄清、说明或补正</w:t>
      </w:r>
      <w:r>
        <w:rPr>
          <w:rFonts w:hint="eastAsia" w:ascii="黑体" w:hAnsi="黑体" w:eastAsia="黑体"/>
        </w:rPr>
        <w:t>见评标办法专用部分附表</w:t>
      </w:r>
      <w:r>
        <w:rPr>
          <w:rFonts w:ascii="黑体" w:hAnsi="黑体" w:eastAsia="黑体"/>
        </w:rPr>
        <w:t>17</w:t>
      </w:r>
      <w:r>
        <w:rPr>
          <w:rFonts w:hint="eastAsia" w:ascii="宋体" w:hAnsi="宋体"/>
        </w:rPr>
        <w:t>。</w:t>
      </w:r>
    </w:p>
    <w:p>
      <w:pPr>
        <w:pStyle w:val="155"/>
        <w:adjustRightInd w:val="0"/>
        <w:snapToGrid w:val="0"/>
        <w:spacing w:before="120" w:after="120"/>
        <w:jc w:val="left"/>
      </w:pPr>
      <w:bookmarkStart w:id="1288" w:name="_Toc393199992"/>
      <w:bookmarkStart w:id="1289" w:name="_Toc490222480"/>
      <w:bookmarkStart w:id="1290" w:name="_Toc393128337"/>
      <w:bookmarkStart w:id="1291" w:name="_Toc403052583"/>
      <w:bookmarkStart w:id="1292" w:name="_Toc393199479"/>
      <w:bookmarkStart w:id="1293" w:name="_Toc403054343"/>
      <w:bookmarkStart w:id="1294" w:name="_Toc483675425"/>
      <w:bookmarkStart w:id="1295" w:name="_Toc403059526"/>
      <w:bookmarkStart w:id="1296" w:name="_Toc393200506"/>
      <w:bookmarkStart w:id="1297" w:name="_Toc486580034"/>
      <w:bookmarkStart w:id="1298" w:name="_Toc489279846"/>
      <w:bookmarkStart w:id="1299" w:name="_Toc117350399"/>
      <w:r>
        <w:t xml:space="preserve">3.6  </w:t>
      </w:r>
      <w:bookmarkStart w:id="1300" w:name="_Hlk114147187"/>
      <w:r>
        <w:rPr>
          <w:rFonts w:hint="eastAsia"/>
        </w:rPr>
        <w:t>推荐中标候选人或者直接确定中标人</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pPr>
        <w:spacing w:line="360" w:lineRule="auto"/>
        <w:ind w:firstLine="420" w:firstLineChars="200"/>
        <w:rPr>
          <w:rFonts w:ascii="宋体"/>
        </w:rPr>
      </w:pPr>
      <w:bookmarkStart w:id="1301" w:name="_Hlk114147284"/>
      <w:r>
        <w:rPr>
          <w:rFonts w:ascii="宋体" w:hAnsi="宋体"/>
        </w:rPr>
        <w:t xml:space="preserve">3.6.1  </w:t>
      </w:r>
      <w:r>
        <w:rPr>
          <w:rFonts w:hint="eastAsia" w:ascii="宋体" w:hAnsi="宋体"/>
        </w:rPr>
        <w:t>推荐中标候选人</w:t>
      </w:r>
      <w:bookmarkEnd w:id="1301"/>
    </w:p>
    <w:p>
      <w:pPr>
        <w:spacing w:line="360" w:lineRule="auto"/>
        <w:ind w:firstLine="630" w:firstLineChars="300"/>
        <w:rPr>
          <w:rFonts w:ascii="宋体" w:cs="Arial"/>
          <w:szCs w:val="21"/>
        </w:rPr>
      </w:pPr>
      <w:bookmarkStart w:id="1302" w:name="_Hlk114147227"/>
      <w:r>
        <w:rPr>
          <w:rFonts w:ascii="宋体" w:hAnsi="宋体"/>
        </w:rPr>
        <w:t xml:space="preserve">3.6.1.1  </w:t>
      </w:r>
      <w:bookmarkEnd w:id="1302"/>
      <w:r>
        <w:rPr>
          <w:rFonts w:hint="eastAsia" w:ascii="宋体" w:hAnsi="宋体" w:cs="Arial"/>
          <w:szCs w:val="21"/>
        </w:rPr>
        <w:t>除第二章“投标人须知”专用部分第</w:t>
      </w:r>
      <w:r>
        <w:rPr>
          <w:rFonts w:ascii="宋体" w:hAnsi="宋体" w:cs="Arial"/>
          <w:szCs w:val="21"/>
        </w:rPr>
        <w:t>7.1</w:t>
      </w:r>
      <w:r>
        <w:rPr>
          <w:rFonts w:hint="eastAsia" w:ascii="宋体" w:hAnsi="宋体" w:cs="Arial"/>
          <w:szCs w:val="21"/>
        </w:rPr>
        <w:t>款授权直接确定中标人外，评标委员会使用招投标情况书面报告备案表记录投标人排名次序，并推荐中标候选人。招投标情况书面报告备案表格式</w:t>
      </w:r>
      <w:r>
        <w:rPr>
          <w:rFonts w:hint="eastAsia" w:ascii="黑体" w:hAnsi="黑体" w:eastAsia="黑体"/>
        </w:rPr>
        <w:t>见评标办法专用部分附表</w:t>
      </w:r>
      <w:r>
        <w:rPr>
          <w:rFonts w:ascii="黑体" w:hAnsi="黑体" w:eastAsia="黑体"/>
        </w:rPr>
        <w:t>18</w:t>
      </w:r>
      <w:r>
        <w:rPr>
          <w:rFonts w:hint="eastAsia" w:ascii="宋体" w:hAnsi="宋体"/>
          <w:szCs w:val="21"/>
        </w:rPr>
        <w:t>。</w:t>
      </w:r>
    </w:p>
    <w:p>
      <w:pPr>
        <w:spacing w:line="360" w:lineRule="auto"/>
        <w:ind w:firstLine="630" w:firstLineChars="300"/>
        <w:rPr>
          <w:rFonts w:ascii="宋体" w:cs="Arial"/>
          <w:szCs w:val="21"/>
        </w:rPr>
      </w:pPr>
      <w:bookmarkStart w:id="1303" w:name="_Hlk114147323"/>
      <w:r>
        <w:rPr>
          <w:rFonts w:hint="eastAsia" w:ascii="宋体" w:hAnsi="宋体" w:cs="Arial"/>
          <w:szCs w:val="21"/>
        </w:rPr>
        <w:t>评标委员会在推荐中标候选人时，应遵照以下原则：</w:t>
      </w:r>
      <w:bookmarkEnd w:id="1303"/>
    </w:p>
    <w:p>
      <w:pPr>
        <w:spacing w:line="360" w:lineRule="auto"/>
        <w:ind w:firstLine="567" w:firstLineChars="270"/>
        <w:rPr>
          <w:rFonts w:ascii="宋体" w:cs="Arial"/>
          <w:szCs w:val="21"/>
        </w:rPr>
      </w:pPr>
      <w:bookmarkStart w:id="1304" w:name="_Hlk114147262"/>
      <w:r>
        <w:rPr>
          <w:rFonts w:hint="eastAsia" w:ascii="宋体" w:hAnsi="宋体" w:cs="Arial"/>
          <w:szCs w:val="21"/>
        </w:rPr>
        <w:t>（</w:t>
      </w:r>
      <w:r>
        <w:rPr>
          <w:rFonts w:ascii="宋体" w:hAnsi="宋体" w:cs="Arial"/>
          <w:szCs w:val="21"/>
        </w:rPr>
        <w:t>1</w:t>
      </w:r>
      <w:r>
        <w:rPr>
          <w:rFonts w:hint="eastAsia" w:ascii="宋体" w:hAnsi="宋体" w:cs="Arial"/>
          <w:szCs w:val="21"/>
        </w:rPr>
        <w:t>）</w:t>
      </w:r>
      <w:bookmarkEnd w:id="1304"/>
      <w:r>
        <w:rPr>
          <w:rFonts w:hint="eastAsia" w:ascii="宋体" w:hAnsi="宋体" w:cs="Arial"/>
          <w:szCs w:val="21"/>
        </w:rPr>
        <w:t>评标委员会按照最终得分由高至低的次序排列，并根据第二章“投标人须知”专用部分第</w:t>
      </w:r>
      <w:r>
        <w:rPr>
          <w:rFonts w:ascii="宋体" w:hAnsi="宋体" w:cs="Arial"/>
          <w:bCs/>
          <w:szCs w:val="21"/>
        </w:rPr>
        <w:t>7.1</w:t>
      </w:r>
      <w:r>
        <w:rPr>
          <w:rFonts w:hint="eastAsia" w:ascii="宋体" w:hAnsi="宋体" w:cs="Arial"/>
          <w:szCs w:val="21"/>
        </w:rPr>
        <w:t>款规定的中标候选人数量，将排序在前的投标人推荐为中标候选人。</w:t>
      </w:r>
      <w:bookmarkStart w:id="1305" w:name="_Hlk114147361"/>
      <w:bookmarkStart w:id="1306" w:name="_Hlk114648274"/>
      <w:r>
        <w:rPr>
          <w:rFonts w:hint="eastAsia" w:ascii="宋体" w:hAnsi="宋体" w:cs="Arial"/>
          <w:szCs w:val="21"/>
        </w:rPr>
        <w:t>第二章“投标人须知”专用部分第</w:t>
      </w:r>
      <w:r>
        <w:rPr>
          <w:rFonts w:ascii="宋体" w:hAnsi="宋体" w:cs="Arial"/>
          <w:bCs/>
          <w:szCs w:val="21"/>
        </w:rPr>
        <w:t>7.1</w:t>
      </w:r>
      <w:r>
        <w:rPr>
          <w:rFonts w:hint="eastAsia" w:ascii="宋体" w:hAnsi="宋体" w:cs="Arial"/>
          <w:szCs w:val="21"/>
        </w:rPr>
        <w:t>款规定采用评定分离确定中标人的，评标委员会在本章附表1</w:t>
      </w:r>
      <w:r>
        <w:rPr>
          <w:rFonts w:ascii="宋体" w:hAnsi="宋体" w:cs="Arial"/>
          <w:szCs w:val="21"/>
        </w:rPr>
        <w:t>8</w:t>
      </w:r>
      <w:r>
        <w:rPr>
          <w:rFonts w:hint="eastAsia" w:ascii="宋体" w:hAnsi="宋体" w:cs="Arial"/>
          <w:szCs w:val="21"/>
        </w:rPr>
        <w:t>中不对中标候选人进行排序</w:t>
      </w:r>
      <w:bookmarkEnd w:id="1305"/>
      <w:r>
        <w:rPr>
          <w:rFonts w:hint="eastAsia" w:ascii="黑体" w:hAnsi="黑体" w:eastAsia="黑体"/>
        </w:rPr>
        <w:t>。</w:t>
      </w:r>
      <w:bookmarkEnd w:id="1306"/>
    </w:p>
    <w:p>
      <w:pPr>
        <w:spacing w:line="360" w:lineRule="auto"/>
        <w:ind w:firstLine="567" w:firstLineChars="2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）如果评标委员会根据本章的规定否决不合格投标后，有效投标不足三个，且少于第二章“投标人须知”专用部分第</w:t>
      </w:r>
      <w:r>
        <w:rPr>
          <w:rFonts w:ascii="宋体" w:hAnsi="宋体" w:cs="Arial"/>
          <w:szCs w:val="21"/>
        </w:rPr>
        <w:t>7.1</w:t>
      </w:r>
      <w:r>
        <w:rPr>
          <w:rFonts w:hint="eastAsia" w:ascii="宋体" w:hAnsi="宋体" w:cs="Arial"/>
          <w:szCs w:val="21"/>
        </w:rPr>
        <w:t>款规定的中标候选人数量的，则评标委员会可以将所有有效投标按最终得分由高至低的次序作为中标候选人向招标人推荐。</w:t>
      </w:r>
      <w:bookmarkStart w:id="1307" w:name="_Hlk114067134"/>
      <w:r>
        <w:rPr>
          <w:rFonts w:hint="eastAsia" w:ascii="宋体" w:hAnsi="宋体" w:cs="Arial"/>
          <w:szCs w:val="21"/>
        </w:rPr>
        <w:t>有效投标不足三个的，</w:t>
      </w:r>
      <w:bookmarkStart w:id="1308" w:name="_Hlk114648346"/>
      <w:r>
        <w:rPr>
          <w:rFonts w:hint="eastAsia" w:ascii="宋体" w:hAnsi="宋体" w:cs="Arial"/>
          <w:szCs w:val="21"/>
        </w:rPr>
        <w:t>评标委员会应当对投标是否明显缺乏竞争和是否需要否决全部投标进行充分论证，并在评标报告中记载论证过程和结果，经论证后，评标委员会认为有效投标均不符合招标文件的技术要求或者明显缺乏竞争力时，应当否决全部投标。</w:t>
      </w:r>
      <w:bookmarkEnd w:id="1307"/>
      <w:bookmarkEnd w:id="1308"/>
    </w:p>
    <w:p>
      <w:pPr>
        <w:spacing w:line="360" w:lineRule="auto"/>
        <w:ind w:firstLine="630" w:firstLineChars="300"/>
        <w:rPr>
          <w:rFonts w:ascii="宋体" w:cs="Arial"/>
          <w:szCs w:val="21"/>
        </w:rPr>
      </w:pPr>
      <w:r>
        <w:rPr>
          <w:rFonts w:ascii="宋体" w:hAnsi="宋体"/>
        </w:rPr>
        <w:t xml:space="preserve">3.6.1.2  </w:t>
      </w:r>
      <w:bookmarkStart w:id="1309" w:name="_Hlk114067175"/>
      <w:r>
        <w:rPr>
          <w:rFonts w:hint="eastAsia" w:ascii="宋体" w:hAnsi="宋体" w:cs="Arial"/>
          <w:szCs w:val="21"/>
        </w:rPr>
        <w:t>所有投标被否决的，招标人应当依法重新招标。</w:t>
      </w:r>
      <w:bookmarkEnd w:id="1309"/>
    </w:p>
    <w:p>
      <w:pPr>
        <w:spacing w:line="360" w:lineRule="auto"/>
        <w:ind w:firstLine="420" w:firstLineChars="200"/>
        <w:rPr>
          <w:rFonts w:ascii="宋体"/>
        </w:rPr>
      </w:pPr>
      <w:r>
        <w:rPr>
          <w:rFonts w:ascii="宋体" w:hAnsi="宋体"/>
        </w:rPr>
        <w:t xml:space="preserve">3.6.1  </w:t>
      </w:r>
      <w:r>
        <w:rPr>
          <w:rFonts w:hint="eastAsia" w:ascii="宋体" w:hAnsi="宋体"/>
        </w:rPr>
        <w:t>直接确定中标人</w:t>
      </w:r>
    </w:p>
    <w:p>
      <w:pPr>
        <w:spacing w:line="360" w:lineRule="auto"/>
        <w:ind w:firstLine="630" w:firstLineChars="300"/>
        <w:rPr>
          <w:rFonts w:ascii="宋体"/>
        </w:rPr>
      </w:pPr>
      <w:r>
        <w:rPr>
          <w:rFonts w:ascii="宋体" w:hAnsi="宋体"/>
        </w:rPr>
        <w:t xml:space="preserve">3.6.1.1  </w:t>
      </w:r>
      <w:r>
        <w:rPr>
          <w:rFonts w:hint="eastAsia" w:ascii="宋体" w:hAnsi="宋体"/>
        </w:rPr>
        <w:t>第二章“投标人须知”专用部分第</w:t>
      </w:r>
      <w:r>
        <w:rPr>
          <w:rFonts w:ascii="宋体" w:hAnsi="宋体"/>
        </w:rPr>
        <w:t>7.1</w:t>
      </w:r>
      <w:r>
        <w:rPr>
          <w:rFonts w:hint="eastAsia" w:ascii="宋体" w:hAnsi="宋体"/>
        </w:rPr>
        <w:t>款授权评标委员会直接确定中标人的，评标委员会按照最终得分由高至低的次序排列，并确定排名第一的投标人为中标人。评标委员会使用招投标情况书面报告备案表记录投标人排名次序，并确定中标人。招投标情况书面报告备案表格式</w:t>
      </w:r>
      <w:r>
        <w:rPr>
          <w:rFonts w:hint="eastAsia" w:ascii="黑体" w:hAnsi="黑体" w:eastAsia="黑体"/>
        </w:rPr>
        <w:t>见评标办法专用部分附表</w:t>
      </w:r>
      <w:r>
        <w:rPr>
          <w:rFonts w:ascii="黑体" w:hAnsi="黑体" w:eastAsia="黑体"/>
        </w:rPr>
        <w:t>18</w:t>
      </w:r>
      <w:r>
        <w:rPr>
          <w:rFonts w:hint="eastAsia" w:ascii="宋体" w:hAnsi="宋体"/>
        </w:rPr>
        <w:t>。</w:t>
      </w:r>
    </w:p>
    <w:p>
      <w:pPr>
        <w:spacing w:line="360" w:lineRule="auto"/>
        <w:ind w:firstLine="420" w:firstLineChars="200"/>
        <w:rPr>
          <w:rFonts w:ascii="宋体"/>
        </w:rPr>
      </w:pPr>
      <w:r>
        <w:rPr>
          <w:rFonts w:hint="eastAsia" w:ascii="宋体" w:hAnsi="宋体"/>
        </w:rPr>
        <w:t>如果评标委员会根据本章的规定否决不合格投标后，如果因有效投标不足三个</w:t>
      </w:r>
      <w:bookmarkStart w:id="1310" w:name="_Hlk114648373"/>
      <w:r>
        <w:rPr>
          <w:rFonts w:hint="eastAsia" w:ascii="宋体" w:hAnsi="宋体" w:cs="Arial"/>
          <w:szCs w:val="21"/>
        </w:rPr>
        <w:t>，评标委员会应当对投标是否明显缺乏竞争和是否需要否决全部投标进行充分论证，并在评标报告中记载论证过程和结果，经论证后，评标委员会认为有效投标均不符合招标文件的技术要求或者明显缺乏竞争力时，应当否决全部投标。</w:t>
      </w:r>
      <w:bookmarkEnd w:id="1310"/>
    </w:p>
    <w:p>
      <w:pPr>
        <w:spacing w:line="360" w:lineRule="auto"/>
        <w:ind w:firstLine="630" w:firstLineChars="300"/>
        <w:rPr>
          <w:rFonts w:ascii="宋体"/>
        </w:rPr>
      </w:pPr>
      <w:r>
        <w:rPr>
          <w:rFonts w:ascii="宋体" w:hAnsi="宋体"/>
        </w:rPr>
        <w:t xml:space="preserve">3.6.1.2  </w:t>
      </w:r>
      <w:r>
        <w:rPr>
          <w:rFonts w:hint="eastAsia" w:ascii="宋体" w:hAnsi="宋体"/>
        </w:rPr>
        <w:t>所有投标被否决的，招标人应当依法重新招标。</w:t>
      </w:r>
      <w:r>
        <w:rPr>
          <w:rFonts w:ascii="宋体" w:hAnsi="宋体"/>
        </w:rPr>
        <w:t xml:space="preserve"> </w:t>
      </w:r>
    </w:p>
    <w:p>
      <w:pPr>
        <w:spacing w:line="360" w:lineRule="auto"/>
        <w:ind w:firstLine="420" w:firstLineChars="200"/>
        <w:rPr>
          <w:rFonts w:ascii="宋体"/>
        </w:rPr>
      </w:pPr>
      <w:r>
        <w:rPr>
          <w:rFonts w:ascii="宋体" w:hAnsi="宋体"/>
        </w:rPr>
        <w:t xml:space="preserve">3.6.2  </w:t>
      </w:r>
      <w:r>
        <w:rPr>
          <w:rFonts w:hint="eastAsia" w:ascii="宋体" w:hAnsi="宋体"/>
        </w:rPr>
        <w:t>评标委员会复核打分</w:t>
      </w:r>
    </w:p>
    <w:p>
      <w:pPr>
        <w:spacing w:line="360" w:lineRule="auto"/>
        <w:ind w:firstLine="420" w:firstLineChars="200"/>
        <w:rPr>
          <w:rFonts w:ascii="宋体"/>
        </w:rPr>
      </w:pPr>
      <w:r>
        <w:rPr>
          <w:rFonts w:hint="eastAsia" w:ascii="宋体" w:hAnsi="宋体"/>
        </w:rPr>
        <w:t>评标委员会应保证其评审的正确性，并使用评标委员会成员评标打分复核意见书记录评标复核结果。评标委员会成员评标打分复核意见书格式</w:t>
      </w:r>
      <w:r>
        <w:rPr>
          <w:rFonts w:hint="eastAsia" w:ascii="黑体" w:hAnsi="黑体" w:eastAsia="黑体"/>
        </w:rPr>
        <w:t>见评标办法专用部分附表</w:t>
      </w:r>
      <w:r>
        <w:rPr>
          <w:rFonts w:ascii="黑体" w:hAnsi="黑体" w:eastAsia="黑体"/>
        </w:rPr>
        <w:t>19</w:t>
      </w:r>
      <w:r>
        <w:rPr>
          <w:rFonts w:hint="eastAsia" w:ascii="黑体" w:hAnsi="黑体" w:eastAsia="黑体"/>
          <w:szCs w:val="21"/>
        </w:rPr>
        <w:t>。</w:t>
      </w:r>
    </w:p>
    <w:p>
      <w:pPr>
        <w:spacing w:line="360" w:lineRule="auto"/>
        <w:ind w:firstLine="420" w:firstLineChars="200"/>
        <w:rPr>
          <w:rFonts w:ascii="宋体"/>
        </w:rPr>
      </w:pPr>
      <w:r>
        <w:rPr>
          <w:rFonts w:ascii="宋体" w:hAnsi="宋体"/>
        </w:rPr>
        <w:t xml:space="preserve">3.6.3  </w:t>
      </w:r>
      <w:r>
        <w:rPr>
          <w:rFonts w:hint="eastAsia" w:ascii="宋体" w:hAnsi="宋体"/>
        </w:rPr>
        <w:t>编制评标报告</w:t>
      </w:r>
    </w:p>
    <w:p>
      <w:pPr>
        <w:spacing w:line="360" w:lineRule="auto"/>
        <w:ind w:firstLine="359" w:firstLineChars="171"/>
        <w:rPr>
          <w:rFonts w:ascii="宋体" w:cs="Arial"/>
          <w:szCs w:val="21"/>
        </w:rPr>
      </w:pPr>
      <w:r>
        <w:rPr>
          <w:rFonts w:hint="eastAsia" w:ascii="宋体" w:hAnsi="宋体"/>
        </w:rPr>
        <w:t>评标委员会应当向招标人提交评标报告。评标报告应当由全体评标委员会成员签字，并于评标结束时抄送有关行政监督部门。</w:t>
      </w:r>
      <w:r>
        <w:rPr>
          <w:rFonts w:hint="eastAsia" w:ascii="宋体" w:hAnsi="宋体" w:cs="Arial"/>
          <w:szCs w:val="21"/>
        </w:rPr>
        <w:t>评标报告应当包括以下内容：</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）评标委员会签到表；</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）评标专家声明书；</w:t>
      </w:r>
    </w:p>
    <w:p>
      <w:pPr>
        <w:spacing w:line="360" w:lineRule="auto"/>
        <w:ind w:firstLine="420" w:firstLineChars="200"/>
        <w:rPr>
          <w:rFonts w:ascii="宋体"/>
        </w:rPr>
      </w:pPr>
      <w:r>
        <w:rPr>
          <w:rFonts w:hint="eastAsia" w:ascii="宋体" w:hAnsi="宋体"/>
        </w:rPr>
        <w:t>（</w:t>
      </w:r>
      <w:r>
        <w:rPr>
          <w:rFonts w:ascii="宋体" w:hAnsi="宋体"/>
        </w:rPr>
        <w:t>3</w:t>
      </w:r>
      <w:r>
        <w:rPr>
          <w:rFonts w:hint="eastAsia" w:ascii="宋体" w:hAnsi="宋体"/>
        </w:rPr>
        <w:t>）技术暗标编号确认表；</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）形式评审记录表；</w:t>
      </w:r>
    </w:p>
    <w:p>
      <w:pPr>
        <w:spacing w:line="360" w:lineRule="auto"/>
        <w:ind w:firstLine="420" w:firstLineChars="200"/>
        <w:rPr>
          <w:rFonts w:ascii="宋体"/>
        </w:rPr>
      </w:pPr>
      <w:r>
        <w:rPr>
          <w:rFonts w:hint="eastAsia" w:ascii="宋体" w:hAnsi="宋体"/>
        </w:rPr>
        <w:t>（</w:t>
      </w:r>
      <w:r>
        <w:rPr>
          <w:rFonts w:ascii="宋体" w:hAnsi="宋体"/>
        </w:rPr>
        <w:t>5</w:t>
      </w:r>
      <w:r>
        <w:rPr>
          <w:rFonts w:hint="eastAsia" w:ascii="宋体" w:hAnsi="宋体"/>
        </w:rPr>
        <w:t>）资格评审记录表；</w:t>
      </w:r>
    </w:p>
    <w:p>
      <w:pPr>
        <w:spacing w:line="360" w:lineRule="auto"/>
        <w:ind w:firstLine="420" w:firstLineChars="200"/>
        <w:rPr>
          <w:rFonts w:ascii="宋体"/>
        </w:rPr>
      </w:pPr>
      <w:r>
        <w:rPr>
          <w:rFonts w:hint="eastAsia" w:ascii="宋体" w:hAnsi="宋体"/>
        </w:rPr>
        <w:t>（</w:t>
      </w:r>
      <w:r>
        <w:rPr>
          <w:rFonts w:ascii="宋体" w:hAnsi="宋体"/>
        </w:rPr>
        <w:t>6</w:t>
      </w:r>
      <w:r>
        <w:rPr>
          <w:rFonts w:hint="eastAsia" w:ascii="宋体" w:hAnsi="宋体"/>
        </w:rPr>
        <w:t>）响应性评审记录表；</w:t>
      </w:r>
    </w:p>
    <w:p>
      <w:pPr>
        <w:spacing w:line="360" w:lineRule="auto"/>
        <w:ind w:firstLine="420" w:firstLineChars="200"/>
        <w:rPr>
          <w:rFonts w:ascii="宋体"/>
        </w:rPr>
      </w:pPr>
      <w:r>
        <w:rPr>
          <w:rFonts w:hint="eastAsia" w:ascii="宋体" w:hAnsi="宋体"/>
        </w:rPr>
        <w:t>（</w:t>
      </w:r>
      <w:r>
        <w:rPr>
          <w:rFonts w:ascii="宋体" w:hAnsi="宋体"/>
        </w:rPr>
        <w:t>7</w:t>
      </w:r>
      <w:r>
        <w:rPr>
          <w:rFonts w:hint="eastAsia" w:ascii="宋体" w:hAnsi="宋体"/>
        </w:rPr>
        <w:t>）投标偏差分析表；</w:t>
      </w:r>
    </w:p>
    <w:p>
      <w:pPr>
        <w:spacing w:line="360" w:lineRule="auto"/>
        <w:ind w:firstLine="420" w:firstLineChars="200"/>
        <w:rPr>
          <w:rFonts w:ascii="宋体"/>
        </w:rPr>
      </w:pPr>
      <w:r>
        <w:rPr>
          <w:rFonts w:hint="eastAsia" w:ascii="宋体" w:hAnsi="宋体"/>
        </w:rPr>
        <w:t>（</w:t>
      </w:r>
      <w:r>
        <w:rPr>
          <w:rFonts w:ascii="宋体" w:hAnsi="宋体"/>
        </w:rPr>
        <w:t>8</w:t>
      </w:r>
      <w:r>
        <w:rPr>
          <w:rFonts w:hint="eastAsia" w:ascii="宋体" w:hAnsi="宋体"/>
        </w:rPr>
        <w:t>）施工组织设计评审记录表；</w:t>
      </w:r>
    </w:p>
    <w:p>
      <w:pPr>
        <w:spacing w:line="360" w:lineRule="auto"/>
        <w:ind w:firstLine="420" w:firstLineChars="200"/>
        <w:rPr>
          <w:rFonts w:ascii="宋体"/>
        </w:rPr>
      </w:pPr>
      <w:r>
        <w:rPr>
          <w:rFonts w:hint="eastAsia" w:ascii="宋体" w:hAnsi="宋体"/>
        </w:rPr>
        <w:t>（</w:t>
      </w:r>
      <w:r>
        <w:rPr>
          <w:rFonts w:ascii="宋体" w:hAnsi="宋体"/>
        </w:rPr>
        <w:t>9</w:t>
      </w:r>
      <w:r>
        <w:rPr>
          <w:rFonts w:hint="eastAsia" w:ascii="宋体" w:hAnsi="宋体"/>
        </w:rPr>
        <w:t>）项目管理机构评审记录表；</w:t>
      </w:r>
    </w:p>
    <w:p>
      <w:pPr>
        <w:spacing w:line="360" w:lineRule="auto"/>
        <w:ind w:firstLine="420" w:firstLineChars="200"/>
        <w:rPr>
          <w:rFonts w:ascii="宋体"/>
        </w:rPr>
      </w:pPr>
      <w:r>
        <w:rPr>
          <w:rFonts w:hint="eastAsia" w:ascii="宋体" w:hAnsi="宋体"/>
        </w:rPr>
        <w:t>（</w:t>
      </w:r>
      <w:r>
        <w:rPr>
          <w:rFonts w:ascii="宋体" w:hAnsi="宋体"/>
        </w:rPr>
        <w:t>10</w:t>
      </w:r>
      <w:r>
        <w:rPr>
          <w:rFonts w:hint="eastAsia" w:ascii="宋体" w:hAnsi="宋体"/>
        </w:rPr>
        <w:t>）投标报价评分记录表；</w:t>
      </w:r>
    </w:p>
    <w:p>
      <w:pPr>
        <w:spacing w:line="360" w:lineRule="auto"/>
        <w:ind w:firstLine="420" w:firstLineChars="200"/>
        <w:rPr>
          <w:rFonts w:ascii="宋体"/>
        </w:rPr>
      </w:pPr>
      <w:r>
        <w:rPr>
          <w:rFonts w:hint="eastAsia" w:ascii="宋体" w:hAnsi="宋体"/>
        </w:rPr>
        <w:t>（</w:t>
      </w:r>
      <w:r>
        <w:rPr>
          <w:rFonts w:ascii="宋体" w:hAnsi="宋体"/>
        </w:rPr>
        <w:t>11</w:t>
      </w:r>
      <w:r>
        <w:rPr>
          <w:rFonts w:hint="eastAsia" w:ascii="宋体" w:hAnsi="宋体"/>
        </w:rPr>
        <w:t>）</w:t>
      </w:r>
      <w:r>
        <w:rPr>
          <w:rFonts w:hint="eastAsia" w:ascii="宋体" w:hAnsi="宋体" w:cs="Arial"/>
          <w:szCs w:val="21"/>
        </w:rPr>
        <w:t>信誉</w:t>
      </w:r>
      <w:r>
        <w:rPr>
          <w:rFonts w:hint="eastAsia" w:ascii="宋体" w:hAnsi="宋体"/>
          <w:szCs w:val="21"/>
        </w:rPr>
        <w:t>评审记录表格；</w:t>
      </w:r>
    </w:p>
    <w:p>
      <w:pPr>
        <w:spacing w:line="360" w:lineRule="auto"/>
        <w:ind w:firstLine="420" w:firstLineChars="200"/>
        <w:rPr>
          <w:rFonts w:ascii="宋体"/>
        </w:rPr>
      </w:pPr>
      <w:r>
        <w:rPr>
          <w:rFonts w:hint="eastAsia" w:ascii="宋体" w:hAnsi="宋体"/>
        </w:rPr>
        <w:t>（</w:t>
      </w:r>
      <w:r>
        <w:rPr>
          <w:rFonts w:ascii="宋体" w:hAnsi="宋体"/>
        </w:rPr>
        <w:t>12</w:t>
      </w:r>
      <w:r>
        <w:rPr>
          <w:rFonts w:hint="eastAsia" w:ascii="宋体" w:hAnsi="宋体"/>
        </w:rPr>
        <w:t>）其他因素评审记录表；</w:t>
      </w:r>
    </w:p>
    <w:p>
      <w:pPr>
        <w:spacing w:line="360" w:lineRule="auto"/>
        <w:ind w:firstLine="420" w:firstLineChars="200"/>
        <w:rPr>
          <w:rFonts w:ascii="宋体"/>
        </w:rPr>
      </w:pPr>
      <w:r>
        <w:rPr>
          <w:rFonts w:hint="eastAsia" w:ascii="宋体" w:hAnsi="宋体"/>
        </w:rPr>
        <w:t>（</w:t>
      </w:r>
      <w:r>
        <w:rPr>
          <w:rFonts w:ascii="宋体" w:hAnsi="宋体"/>
        </w:rPr>
        <w:t>13</w:t>
      </w:r>
      <w:r>
        <w:rPr>
          <w:rFonts w:hint="eastAsia" w:ascii="宋体" w:hAnsi="宋体"/>
        </w:rPr>
        <w:t>）详细评审评分汇总表；</w:t>
      </w:r>
    </w:p>
    <w:p>
      <w:pPr>
        <w:spacing w:line="360" w:lineRule="auto"/>
        <w:ind w:firstLine="420" w:firstLineChars="200"/>
        <w:rPr>
          <w:rFonts w:ascii="宋体"/>
        </w:rPr>
      </w:pPr>
      <w:r>
        <w:rPr>
          <w:rFonts w:hint="eastAsia" w:ascii="宋体" w:hAnsi="宋体"/>
        </w:rPr>
        <w:t>（</w:t>
      </w:r>
      <w:r>
        <w:rPr>
          <w:rFonts w:ascii="宋体" w:hAnsi="宋体"/>
        </w:rPr>
        <w:t>14</w:t>
      </w:r>
      <w:r>
        <w:rPr>
          <w:rFonts w:hint="eastAsia" w:ascii="宋体" w:hAnsi="宋体"/>
        </w:rPr>
        <w:t>）评标结果汇总表；</w:t>
      </w:r>
    </w:p>
    <w:p>
      <w:pPr>
        <w:spacing w:line="360" w:lineRule="auto"/>
        <w:ind w:firstLine="420" w:firstLineChars="200"/>
        <w:rPr>
          <w:rFonts w:ascii="宋体"/>
        </w:rPr>
      </w:pPr>
      <w:r>
        <w:rPr>
          <w:rFonts w:hint="eastAsia" w:ascii="宋体" w:hAnsi="宋体"/>
        </w:rPr>
        <w:t>（</w:t>
      </w:r>
      <w:r>
        <w:rPr>
          <w:rFonts w:ascii="宋体" w:hAnsi="宋体"/>
        </w:rPr>
        <w:t>15</w:t>
      </w:r>
      <w:r>
        <w:rPr>
          <w:rFonts w:hint="eastAsia" w:ascii="宋体" w:hAnsi="宋体"/>
        </w:rPr>
        <w:t>）评审意见表；</w:t>
      </w:r>
    </w:p>
    <w:p>
      <w:pPr>
        <w:spacing w:line="360" w:lineRule="auto"/>
        <w:ind w:firstLine="420" w:firstLineChars="200"/>
        <w:rPr>
          <w:rFonts w:ascii="宋体" w:hAnsi="宋体"/>
        </w:rPr>
      </w:pPr>
      <w:r>
        <w:rPr>
          <w:rFonts w:hint="eastAsia" w:ascii="宋体" w:hAnsi="宋体"/>
        </w:rPr>
        <w:t>（</w:t>
      </w:r>
      <w:r>
        <w:rPr>
          <w:rFonts w:ascii="宋体" w:hAnsi="宋体"/>
        </w:rPr>
        <w:t>16</w:t>
      </w:r>
      <w:r>
        <w:rPr>
          <w:rFonts w:hint="eastAsia" w:ascii="宋体" w:hAnsi="宋体"/>
        </w:rPr>
        <w:t>）评标委员会成员评标打分复核意见书；</w:t>
      </w:r>
    </w:p>
    <w:p>
      <w:pPr>
        <w:spacing w:line="360" w:lineRule="auto"/>
        <w:ind w:firstLine="420" w:firstLineChars="200"/>
        <w:rPr>
          <w:rFonts w:ascii="宋体"/>
        </w:rPr>
      </w:pPr>
      <w:bookmarkStart w:id="1311" w:name="_Hlk114648390"/>
      <w:r>
        <w:rPr>
          <w:rFonts w:hint="eastAsia" w:ascii="宋体" w:hAnsi="宋体"/>
        </w:rPr>
        <w:t>（1</w:t>
      </w:r>
      <w:r>
        <w:rPr>
          <w:rFonts w:ascii="宋体" w:hAnsi="宋体"/>
        </w:rPr>
        <w:t>7</w:t>
      </w:r>
      <w:r>
        <w:rPr>
          <w:rFonts w:hint="eastAsia" w:ascii="宋体" w:hAnsi="宋体"/>
        </w:rPr>
        <w:t>）招投标情况书面报告备案表；</w:t>
      </w:r>
    </w:p>
    <w:bookmarkEnd w:id="1311"/>
    <w:p>
      <w:pPr>
        <w:spacing w:line="360" w:lineRule="auto"/>
        <w:ind w:firstLine="420" w:firstLineChars="200"/>
        <w:rPr>
          <w:rFonts w:ascii="宋体"/>
        </w:rPr>
      </w:pPr>
      <w:r>
        <w:rPr>
          <w:rFonts w:hint="eastAsia" w:ascii="宋体" w:hAnsi="宋体"/>
        </w:rPr>
        <w:t>（</w:t>
      </w:r>
      <w:r>
        <w:rPr>
          <w:rFonts w:ascii="宋体" w:hAnsi="宋体"/>
        </w:rPr>
        <w:t>18</w:t>
      </w:r>
      <w:r>
        <w:rPr>
          <w:rFonts w:hint="eastAsia" w:ascii="宋体" w:hAnsi="宋体"/>
        </w:rPr>
        <w:t>）问题澄清通知；</w:t>
      </w:r>
    </w:p>
    <w:p>
      <w:pPr>
        <w:spacing w:line="360" w:lineRule="auto"/>
        <w:ind w:firstLine="420" w:firstLineChars="200"/>
        <w:rPr>
          <w:rFonts w:ascii="宋体"/>
        </w:rPr>
      </w:pPr>
      <w:r>
        <w:rPr>
          <w:rFonts w:hint="eastAsia" w:ascii="宋体" w:hAnsi="宋体"/>
        </w:rPr>
        <w:t>（</w:t>
      </w:r>
      <w:r>
        <w:rPr>
          <w:rFonts w:ascii="宋体" w:hAnsi="宋体"/>
        </w:rPr>
        <w:t>19</w:t>
      </w:r>
      <w:r>
        <w:rPr>
          <w:rFonts w:hint="eastAsia" w:ascii="宋体" w:hAnsi="宋体"/>
        </w:rPr>
        <w:t>）问题的澄清、说明或补正；</w:t>
      </w:r>
    </w:p>
    <w:p>
      <w:pPr>
        <w:spacing w:line="360" w:lineRule="auto"/>
        <w:ind w:firstLine="420" w:firstLineChars="200"/>
        <w:rPr>
          <w:rFonts w:ascii="宋体"/>
          <w:szCs w:val="21"/>
        </w:rPr>
      </w:pPr>
      <w:r>
        <w:rPr>
          <w:rFonts w:hint="eastAsia" w:ascii="宋体" w:hAnsi="宋体"/>
        </w:rPr>
        <w:t>（</w:t>
      </w:r>
      <w:r>
        <w:rPr>
          <w:rFonts w:ascii="宋体" w:hAnsi="宋体"/>
        </w:rPr>
        <w:t>20</w:t>
      </w:r>
      <w:r>
        <w:rPr>
          <w:rFonts w:hint="eastAsia" w:ascii="宋体" w:hAnsi="宋体"/>
        </w:rPr>
        <w:t>）其他评标相关记录。</w:t>
      </w:r>
    </w:p>
    <w:p>
      <w:pPr>
        <w:pStyle w:val="155"/>
        <w:adjustRightInd w:val="0"/>
        <w:snapToGrid w:val="0"/>
        <w:spacing w:before="120" w:after="120"/>
        <w:jc w:val="left"/>
      </w:pPr>
      <w:bookmarkStart w:id="1312" w:name="_Toc403054344"/>
      <w:bookmarkStart w:id="1313" w:name="_Toc393199993"/>
      <w:bookmarkStart w:id="1314" w:name="_Toc490222481"/>
      <w:bookmarkStart w:id="1315" w:name="_Toc393199480"/>
      <w:bookmarkStart w:id="1316" w:name="_Toc489279847"/>
      <w:bookmarkStart w:id="1317" w:name="_Toc393128338"/>
      <w:bookmarkStart w:id="1318" w:name="_Toc403059527"/>
      <w:bookmarkStart w:id="1319" w:name="_Toc486580035"/>
      <w:bookmarkStart w:id="1320" w:name="_Toc483675426"/>
      <w:bookmarkStart w:id="1321" w:name="_Toc393200507"/>
      <w:bookmarkStart w:id="1322" w:name="_Toc403052584"/>
      <w:bookmarkStart w:id="1323" w:name="_Toc117350400"/>
      <w:r>
        <w:t xml:space="preserve">3.7  </w:t>
      </w:r>
      <w:r>
        <w:rPr>
          <w:rFonts w:hint="eastAsia"/>
        </w:rPr>
        <w:t>特殊情况的处置程序</w:t>
      </w:r>
      <w:bookmarkEnd w:id="1312"/>
      <w:bookmarkEnd w:id="1313"/>
      <w:bookmarkEnd w:id="1314"/>
      <w:bookmarkEnd w:id="1315"/>
      <w:bookmarkEnd w:id="1316"/>
      <w:bookmarkEnd w:id="1317"/>
      <w:bookmarkEnd w:id="1318"/>
      <w:bookmarkEnd w:id="1319"/>
      <w:bookmarkEnd w:id="1320"/>
      <w:bookmarkEnd w:id="1321"/>
      <w:bookmarkEnd w:id="1322"/>
      <w:bookmarkEnd w:id="1323"/>
    </w:p>
    <w:p>
      <w:pPr>
        <w:spacing w:line="360" w:lineRule="auto"/>
        <w:ind w:firstLine="420" w:firstLineChars="200"/>
        <w:rPr>
          <w:rFonts w:ascii="宋体"/>
        </w:rPr>
      </w:pPr>
      <w:r>
        <w:rPr>
          <w:rFonts w:ascii="宋体" w:hAnsi="宋体"/>
        </w:rPr>
        <w:t xml:space="preserve">3.7.1  </w:t>
      </w:r>
      <w:r>
        <w:rPr>
          <w:rFonts w:hint="eastAsia" w:ascii="宋体" w:hAnsi="宋体"/>
        </w:rPr>
        <w:t>暗标评审的评审程序规定</w:t>
      </w:r>
    </w:p>
    <w:p>
      <w:pPr>
        <w:spacing w:line="360" w:lineRule="auto"/>
        <w:ind w:firstLine="420" w:firstLineChars="200"/>
        <w:rPr>
          <w:rFonts w:ascii="宋体"/>
        </w:rPr>
      </w:pPr>
      <w:r>
        <w:rPr>
          <w:rFonts w:hint="eastAsia" w:ascii="宋体" w:hAnsi="宋体"/>
        </w:rPr>
        <w:t>根据第二章“投标人须知”</w:t>
      </w:r>
      <w:r>
        <w:rPr>
          <w:rFonts w:hint="eastAsia" w:ascii="宋体" w:hAnsi="宋体" w:cs="Arial"/>
          <w:kern w:val="0"/>
          <w:szCs w:val="21"/>
        </w:rPr>
        <w:t>中第</w:t>
      </w:r>
      <w:r>
        <w:rPr>
          <w:rFonts w:ascii="宋体" w:hAnsi="宋体" w:cs="Arial"/>
          <w:kern w:val="0"/>
          <w:szCs w:val="21"/>
        </w:rPr>
        <w:t>3.7.5</w:t>
      </w:r>
      <w:r>
        <w:rPr>
          <w:rFonts w:hint="eastAsia" w:ascii="宋体" w:hAnsi="宋体" w:cs="Arial"/>
          <w:kern w:val="0"/>
          <w:szCs w:val="21"/>
        </w:rPr>
        <w:t>项的要求，评标委员会需对施工组织设计进行暗标评审，</w:t>
      </w:r>
      <w:r>
        <w:rPr>
          <w:rFonts w:hint="eastAsia" w:ascii="宋体" w:hAnsi="宋体"/>
        </w:rPr>
        <w:t>评标委员会需将施工组织设计（暗标）评审提前到初步评审之前进行。施工组织设计评审结果封存后再进行形式评审、资格评审、响应性评审和项目管理机构评审。项目管理机构评审完成后再公开暗标编号与投标人名称之间的对应关系。</w:t>
      </w:r>
    </w:p>
    <w:p>
      <w:pPr>
        <w:spacing w:line="360" w:lineRule="auto"/>
        <w:ind w:firstLine="420" w:firstLineChars="200"/>
        <w:rPr>
          <w:rFonts w:ascii="宋体" w:cs="Arial"/>
          <w:szCs w:val="21"/>
        </w:rPr>
      </w:pPr>
      <w:r>
        <w:rPr>
          <w:rFonts w:ascii="宋体" w:hAnsi="宋体"/>
        </w:rPr>
        <w:t xml:space="preserve">3.7.2  </w:t>
      </w:r>
      <w:r>
        <w:rPr>
          <w:rFonts w:hint="eastAsia" w:ascii="宋体" w:hAnsi="宋体" w:cs="Arial"/>
          <w:szCs w:val="21"/>
        </w:rPr>
        <w:t>失信被执行人信息采集</w:t>
      </w:r>
    </w:p>
    <w:p>
      <w:pPr>
        <w:spacing w:line="360" w:lineRule="auto"/>
        <w:ind w:firstLine="420" w:firstLineChars="200"/>
        <w:rPr>
          <w:rFonts w:ascii="宋体" w:hAnsi="宋体" w:cs="Arial"/>
          <w:szCs w:val="21"/>
        </w:rPr>
      </w:pPr>
      <w:r>
        <w:rPr>
          <w:rFonts w:hint="eastAsia" w:ascii="宋体" w:hAnsi="宋体" w:cs="Arial"/>
          <w:szCs w:val="21"/>
        </w:rPr>
        <w:t>信息采集人在规定的开始时间按照本章专用部分约定的网址，</w:t>
      </w:r>
      <w:r>
        <w:rPr>
          <w:rFonts w:hint="eastAsia" w:ascii="宋体" w:hAnsi="宋体"/>
        </w:rPr>
        <w:t>查询相关主体是否为失信被执行人。评标委员会依据</w:t>
      </w:r>
      <w:r>
        <w:rPr>
          <w:rFonts w:hint="eastAsia" w:ascii="宋体" w:hAnsi="宋体" w:cs="Arial"/>
          <w:szCs w:val="21"/>
        </w:rPr>
        <w:t>失信被执行人信息采集记录进行失信被执行人的评审。</w:t>
      </w:r>
    </w:p>
    <w:p>
      <w:pPr>
        <w:spacing w:line="360" w:lineRule="auto"/>
        <w:ind w:firstLine="420" w:firstLineChars="200"/>
        <w:rPr>
          <w:rFonts w:ascii="宋体" w:hAnsi="宋体" w:cs="Arial"/>
          <w:szCs w:val="21"/>
        </w:rPr>
      </w:pPr>
      <w:r>
        <w:rPr>
          <w:rFonts w:hint="eastAsia" w:ascii="宋体" w:hAnsi="宋体"/>
        </w:rPr>
        <w:t>失信被执行人</w:t>
      </w:r>
      <w:r>
        <w:rPr>
          <w:rFonts w:hint="eastAsia" w:ascii="宋体" w:hAnsi="宋体" w:cs="Arial"/>
          <w:szCs w:val="21"/>
        </w:rPr>
        <w:t>信息采集人及采集注意事项</w:t>
      </w:r>
      <w:r>
        <w:rPr>
          <w:rFonts w:hint="eastAsia" w:ascii="黑体" w:hAnsi="黑体" w:eastAsia="黑体"/>
        </w:rPr>
        <w:t>：</w:t>
      </w:r>
    </w:p>
    <w:p>
      <w:pPr>
        <w:adjustRightInd w:val="0"/>
        <w:snapToGrid w:val="0"/>
        <w:spacing w:line="360" w:lineRule="auto"/>
        <w:ind w:firstLine="420" w:firstLineChars="200"/>
        <w:rPr>
          <w:rFonts w:ascii="宋体"/>
          <w:bCs/>
          <w:szCs w:val="21"/>
        </w:rPr>
      </w:pPr>
      <w:bookmarkStart w:id="1324" w:name="_Hlk114648472"/>
      <w:r>
        <w:rPr>
          <w:rFonts w:hint="eastAsia" w:ascii="宋体" w:hAnsi="宋体" w:cs="Arial"/>
          <w:szCs w:val="21"/>
        </w:rPr>
        <w:t>信息采集人</w:t>
      </w:r>
      <w:r>
        <w:rPr>
          <w:rFonts w:hint="eastAsia" w:ascii="宋体" w:hAnsi="宋体"/>
        </w:rPr>
        <w:t>登陆“信用中国”网站</w:t>
      </w:r>
      <w:r>
        <w:rPr>
          <w:rFonts w:ascii="宋体" w:hAnsi="宋体"/>
        </w:rPr>
        <w:t xml:space="preserve"> </w:t>
      </w:r>
      <w:r>
        <w:rPr>
          <w:rFonts w:hint="eastAsia" w:ascii="宋体" w:hAnsi="宋体"/>
          <w:u w:val="single"/>
        </w:rPr>
        <w:t>（</w:t>
      </w:r>
      <w:r>
        <w:fldChar w:fldCharType="begin"/>
      </w:r>
      <w:r>
        <w:instrText xml:space="preserve"> HYPERLINK "http://www.creditchina" </w:instrText>
      </w:r>
      <w:r>
        <w:fldChar w:fldCharType="separate"/>
      </w:r>
      <w:r>
        <w:rPr>
          <w:rFonts w:ascii="宋体" w:hAnsi="宋体"/>
          <w:u w:val="single"/>
        </w:rPr>
        <w:t>www.creditchina</w:t>
      </w:r>
      <w:r>
        <w:rPr>
          <w:rFonts w:ascii="宋体" w:hAnsi="宋体"/>
          <w:u w:val="single"/>
        </w:rPr>
        <w:fldChar w:fldCharType="end"/>
      </w:r>
      <w:r>
        <w:rPr>
          <w:rFonts w:ascii="宋体" w:hAnsi="宋体"/>
          <w:u w:val="single"/>
        </w:rPr>
        <w:t>.gov.cn</w:t>
      </w:r>
      <w:r>
        <w:rPr>
          <w:rFonts w:hint="eastAsia" w:ascii="宋体" w:hAnsi="宋体"/>
          <w:u w:val="single"/>
        </w:rPr>
        <w:t>）</w:t>
      </w:r>
      <w:r>
        <w:rPr>
          <w:rFonts w:hint="eastAsia" w:ascii="宋体" w:hAnsi="宋体"/>
        </w:rPr>
        <w:t>查询相关主体是否为失信被执行人。</w:t>
      </w:r>
    </w:p>
    <w:p>
      <w:pPr>
        <w:adjustRightInd w:val="0"/>
        <w:snapToGrid w:val="0"/>
        <w:spacing w:line="360" w:lineRule="auto"/>
        <w:ind w:firstLine="420" w:firstLineChars="200"/>
        <w:rPr>
          <w:rFonts w:asci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w:t>
      </w:r>
      <w:r>
        <w:rPr>
          <w:rFonts w:ascii="宋体" w:hAnsi="宋体" w:cs="Arial"/>
          <w:iCs/>
          <w:szCs w:val="28"/>
        </w:rPr>
        <w:t>3.2</w:t>
      </w:r>
      <w:r>
        <w:rPr>
          <w:rFonts w:hint="eastAsia" w:ascii="宋体" w:hAnsi="宋体" w:cs="Arial"/>
          <w:iCs/>
          <w:szCs w:val="28"/>
        </w:rPr>
        <w:t>款约定的评标准备阶段，开始</w:t>
      </w:r>
      <w:r>
        <w:rPr>
          <w:rFonts w:hint="eastAsia" w:ascii="宋体" w:hAnsi="宋体" w:cs="Arial"/>
          <w:szCs w:val="21"/>
        </w:rPr>
        <w:t>失信被执行人</w:t>
      </w:r>
      <w:r>
        <w:rPr>
          <w:rFonts w:hint="eastAsia" w:ascii="宋体" w:hAnsi="宋体" w:cs="Arial"/>
          <w:iCs/>
          <w:szCs w:val="28"/>
        </w:rPr>
        <w:t>信息采集工作，信息采集按照开标记录表中记录投标人的先后顺序依次进行，同时</w:t>
      </w:r>
      <w:r>
        <w:rPr>
          <w:rFonts w:hint="eastAsia" w:ascii="宋体" w:hAnsi="宋体"/>
        </w:rPr>
        <w:t>做好纳入失信被执行人失信执行案号、执行法院等查询记录和证据留存，并将</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。在评标委员会全体成员均完成</w:t>
      </w:r>
      <w:r>
        <w:rPr>
          <w:rFonts w:hint="eastAsia" w:ascii="宋体" w:hAnsi="宋体"/>
          <w:bCs/>
          <w:szCs w:val="21"/>
        </w:rPr>
        <w:t>施工组织设计（暗标）评审</w:t>
      </w:r>
      <w:r>
        <w:rPr>
          <w:rFonts w:hint="eastAsia" w:ascii="宋体" w:hAnsi="宋体" w:cs="Arial"/>
          <w:iCs/>
          <w:szCs w:val="28"/>
        </w:rPr>
        <w:t>并将评审记录保存后，评标委员会通过电子化平台调取</w:t>
      </w:r>
      <w:r>
        <w:rPr>
          <w:rFonts w:hint="eastAsia" w:ascii="宋体" w:hAnsi="宋体" w:cs="Arial"/>
          <w:szCs w:val="21"/>
        </w:rPr>
        <w:t>失信被执行人信息采集记录</w:t>
      </w:r>
      <w:r>
        <w:rPr>
          <w:rFonts w:hint="eastAsia" w:ascii="宋体" w:hAnsi="宋体" w:cs="Arial"/>
          <w:iCs/>
          <w:szCs w:val="28"/>
        </w:rPr>
        <w:t>，根据本章相关规定</w:t>
      </w:r>
      <w:r>
        <w:rPr>
          <w:rFonts w:hint="eastAsia" w:ascii="宋体" w:hAnsi="宋体" w:cs="Arial"/>
          <w:szCs w:val="21"/>
        </w:rPr>
        <w:t>进行失信被执行人的评审。</w:t>
      </w:r>
    </w:p>
    <w:p>
      <w:pPr>
        <w:adjustRightInd w:val="0"/>
        <w:snapToGrid w:val="0"/>
        <w:spacing w:line="360" w:lineRule="auto"/>
        <w:ind w:firstLine="420" w:firstLineChars="200"/>
        <w:rPr>
          <w:rFonts w:ascii="宋体"/>
          <w:bCs/>
          <w:szCs w:val="21"/>
        </w:rPr>
      </w:pPr>
      <w:r>
        <w:rPr>
          <w:rFonts w:hint="eastAsia" w:ascii="宋体" w:hAnsi="宋体" w:cs="Arial"/>
          <w:szCs w:val="21"/>
        </w:rPr>
        <w:t>信息采集人为</w:t>
      </w:r>
      <w:r>
        <w:rPr>
          <w:rFonts w:hint="eastAsia" w:ascii="宋体" w:hAnsi="宋体"/>
          <w:bCs/>
          <w:szCs w:val="21"/>
        </w:rPr>
        <w:t>评标委员会的，</w:t>
      </w:r>
      <w:r>
        <w:rPr>
          <w:rFonts w:hint="eastAsia" w:ascii="宋体" w:hAnsi="宋体" w:cs="Arial"/>
          <w:iCs/>
          <w:szCs w:val="28"/>
        </w:rPr>
        <w:t>评标委员会全体成员均完成</w:t>
      </w:r>
      <w:r>
        <w:rPr>
          <w:rFonts w:hint="eastAsia" w:ascii="宋体" w:hAnsi="宋体"/>
          <w:bCs/>
          <w:szCs w:val="21"/>
        </w:rPr>
        <w:t>施工组织设计（暗标）评审</w:t>
      </w:r>
      <w:r>
        <w:rPr>
          <w:rFonts w:hint="eastAsia" w:ascii="宋体" w:hAnsi="宋体" w:cs="Arial"/>
          <w:iCs/>
          <w:szCs w:val="28"/>
        </w:rPr>
        <w:t>并将评审记录保存后，开始进行</w:t>
      </w:r>
      <w:r>
        <w:rPr>
          <w:rFonts w:hint="eastAsia" w:ascii="宋体" w:hAnsi="宋体" w:cs="Arial"/>
          <w:szCs w:val="21"/>
        </w:rPr>
        <w:t>失信被执行人</w:t>
      </w:r>
      <w:r>
        <w:rPr>
          <w:rFonts w:hint="eastAsia" w:ascii="宋体" w:hAnsi="宋体" w:cs="Arial"/>
          <w:iCs/>
          <w:szCs w:val="28"/>
        </w:rPr>
        <w:t>信息采集，信息采集按照开标记录表中记录投标人的先后顺序依次进行，同时</w:t>
      </w:r>
      <w:r>
        <w:rPr>
          <w:rFonts w:hint="eastAsia" w:ascii="宋体" w:hAnsi="宋体"/>
        </w:rPr>
        <w:t>做好纳入失信被执行人失信执行案号、执行法院等查询记录和证据留存，</w:t>
      </w:r>
      <w:r>
        <w:rPr>
          <w:rFonts w:hint="eastAsia" w:ascii="宋体" w:hAnsi="宋体" w:cs="Arial"/>
          <w:iCs/>
          <w:szCs w:val="28"/>
        </w:rPr>
        <w:t>并根据本章相关规定</w:t>
      </w:r>
      <w:r>
        <w:rPr>
          <w:rFonts w:hint="eastAsia" w:ascii="宋体" w:hAnsi="宋体" w:cs="Arial"/>
          <w:szCs w:val="21"/>
        </w:rPr>
        <w:t>进行失信被执行人的评审。</w:t>
      </w:r>
      <w:bookmarkEnd w:id="1324"/>
    </w:p>
    <w:p>
      <w:pPr>
        <w:spacing w:line="360" w:lineRule="auto"/>
        <w:ind w:firstLine="420" w:firstLineChars="200"/>
        <w:rPr>
          <w:rFonts w:ascii="宋体"/>
        </w:rPr>
      </w:pPr>
      <w:r>
        <w:rPr>
          <w:rFonts w:ascii="宋体" w:hAnsi="宋体"/>
        </w:rPr>
        <w:t xml:space="preserve">3.7.3  </w:t>
      </w:r>
      <w:r>
        <w:rPr>
          <w:rFonts w:hint="eastAsia" w:ascii="宋体" w:hAnsi="宋体" w:cs="Arial"/>
          <w:szCs w:val="21"/>
        </w:rPr>
        <w:t>备选</w:t>
      </w:r>
      <w:r>
        <w:rPr>
          <w:rFonts w:hint="eastAsia" w:ascii="宋体" w:hAnsi="宋体"/>
        </w:rPr>
        <w:t>投标</w:t>
      </w:r>
      <w:r>
        <w:rPr>
          <w:rFonts w:hint="eastAsia" w:ascii="宋体" w:hAnsi="宋体" w:cs="Arial"/>
          <w:szCs w:val="21"/>
        </w:rPr>
        <w:t>方案的评审和比较方法</w:t>
      </w:r>
    </w:p>
    <w:p>
      <w:pPr>
        <w:spacing w:line="360" w:lineRule="auto"/>
        <w:ind w:firstLine="420" w:firstLineChars="200"/>
        <w:rPr>
          <w:rFonts w:ascii="宋体"/>
        </w:rPr>
      </w:pPr>
      <w:r>
        <w:rPr>
          <w:rFonts w:hint="eastAsia" w:ascii="宋体" w:hAnsi="宋体"/>
        </w:rPr>
        <w:t>如果第二章“投标人须知”专用部分第</w:t>
      </w:r>
      <w:r>
        <w:rPr>
          <w:rFonts w:ascii="宋体" w:hAnsi="宋体"/>
        </w:rPr>
        <w:t>3.6.1</w:t>
      </w:r>
      <w:r>
        <w:rPr>
          <w:rFonts w:hint="eastAsia" w:ascii="宋体" w:hAnsi="宋体"/>
        </w:rPr>
        <w:t>项允许递交备选投标方案的，备选投标方案的评审和比较方法</w:t>
      </w:r>
      <w:r>
        <w:rPr>
          <w:rFonts w:hint="eastAsia" w:ascii="黑体" w:hAnsi="黑体" w:eastAsia="黑体"/>
        </w:rPr>
        <w:t>见评标办法专用部分附件</w:t>
      </w:r>
      <w:r>
        <w:rPr>
          <w:rFonts w:hint="eastAsia"/>
        </w:rPr>
        <w:t>C</w:t>
      </w:r>
      <w:r>
        <w:rPr>
          <w:rFonts w:hint="eastAsia" w:ascii="宋体" w:hAnsi="宋体"/>
        </w:rPr>
        <w:t>。</w:t>
      </w:r>
    </w:p>
    <w:p>
      <w:pPr>
        <w:spacing w:line="360" w:lineRule="auto"/>
        <w:ind w:firstLine="420" w:firstLineChars="200"/>
        <w:rPr>
          <w:rFonts w:ascii="宋体"/>
        </w:rPr>
      </w:pPr>
      <w:r>
        <w:rPr>
          <w:rFonts w:ascii="宋体" w:hAnsi="宋体"/>
        </w:rPr>
        <w:t xml:space="preserve">3.7.4  </w:t>
      </w:r>
      <w:r>
        <w:rPr>
          <w:rFonts w:hint="eastAsia" w:ascii="宋体" w:hAnsi="宋体"/>
        </w:rPr>
        <w:t>关于评标活动暂停</w:t>
      </w:r>
    </w:p>
    <w:p>
      <w:pPr>
        <w:spacing w:line="360" w:lineRule="auto"/>
        <w:ind w:firstLine="630" w:firstLineChars="300"/>
        <w:rPr>
          <w:rFonts w:ascii="宋体" w:cs="Arial"/>
          <w:szCs w:val="21"/>
        </w:rPr>
      </w:pPr>
      <w:r>
        <w:rPr>
          <w:rFonts w:ascii="宋体" w:hAnsi="宋体"/>
        </w:rPr>
        <w:t xml:space="preserve">3.7.4.1  </w:t>
      </w:r>
      <w:r>
        <w:rPr>
          <w:rFonts w:hint="eastAsia" w:ascii="宋体" w:hAnsi="宋体"/>
        </w:rPr>
        <w:t>评标委员会应当执行连续评标的原则，按评标办法中规定的程序、内容、方</w:t>
      </w:r>
      <w:r>
        <w:rPr>
          <w:rFonts w:hint="eastAsia" w:ascii="宋体" w:hAnsi="宋体" w:cs="Arial"/>
          <w:szCs w:val="21"/>
        </w:rPr>
        <w:t>法、标准完成全部评标工作。只有发生不可抗力导致评标工作无法继续时，评标活动方可暂停。</w:t>
      </w:r>
    </w:p>
    <w:p>
      <w:pPr>
        <w:tabs>
          <w:tab w:val="left" w:pos="780"/>
        </w:tabs>
        <w:spacing w:line="360" w:lineRule="auto"/>
        <w:ind w:firstLine="630" w:firstLineChars="300"/>
        <w:rPr>
          <w:rFonts w:ascii="宋体" w:hAnsi="宋体"/>
        </w:rPr>
      </w:pPr>
      <w:r>
        <w:rPr>
          <w:rFonts w:ascii="宋体" w:hAnsi="宋体"/>
        </w:rPr>
        <w:t xml:space="preserve">3.7.4.2  </w:t>
      </w:r>
      <w:bookmarkStart w:id="1325" w:name="_Hlk114067469"/>
      <w:r>
        <w:rPr>
          <w:rFonts w:hint="eastAsia" w:ascii="宋体" w:hAnsi="宋体"/>
        </w:rPr>
        <w:t>评标委员会发现招标文件内容违反有关强制性规定或者招标文件存在歧义、重大缺陷导致评标无法进行时，应当停止评标并向招标人说明情况。</w:t>
      </w:r>
      <w:bookmarkEnd w:id="1325"/>
    </w:p>
    <w:p>
      <w:pPr>
        <w:tabs>
          <w:tab w:val="left" w:pos="780"/>
        </w:tabs>
        <w:spacing w:line="360" w:lineRule="auto"/>
        <w:ind w:firstLine="630" w:firstLineChars="300"/>
        <w:rPr>
          <w:rFonts w:ascii="宋体" w:hAnsi="宋体" w:cs="Arial"/>
          <w:szCs w:val="21"/>
        </w:rPr>
      </w:pPr>
      <w:bookmarkStart w:id="1326" w:name="_Hlk114648510"/>
      <w:r>
        <w:rPr>
          <w:rFonts w:ascii="宋体" w:hAnsi="宋体"/>
        </w:rPr>
        <w:t xml:space="preserve">3.7.4.3  </w:t>
      </w:r>
      <w:bookmarkEnd w:id="1326"/>
      <w:r>
        <w:rPr>
          <w:rFonts w:hint="eastAsia" w:ascii="宋体" w:hAnsi="宋体" w:cs="Arial"/>
          <w:szCs w:val="21"/>
        </w:rPr>
        <w:t>发生评标暂停情况时，评标委员会应当封存全部投标文件和评标记录，待不可抗力的影响结束且具备继续评标的条件时，由原评标委员会继续评标。</w:t>
      </w:r>
    </w:p>
    <w:p>
      <w:pPr>
        <w:spacing w:line="360" w:lineRule="auto"/>
        <w:ind w:firstLine="420" w:firstLineChars="200"/>
        <w:rPr>
          <w:rFonts w:ascii="宋体"/>
        </w:rPr>
      </w:pPr>
      <w:r>
        <w:rPr>
          <w:rFonts w:ascii="宋体" w:hAnsi="宋体"/>
        </w:rPr>
        <w:t xml:space="preserve">3.7.5  </w:t>
      </w:r>
      <w:r>
        <w:rPr>
          <w:rFonts w:hint="eastAsia" w:ascii="宋体" w:hAnsi="宋体"/>
        </w:rPr>
        <w:t>关于评标中途更换评委</w:t>
      </w:r>
    </w:p>
    <w:p>
      <w:pPr>
        <w:spacing w:line="360" w:lineRule="auto"/>
        <w:ind w:firstLine="630" w:firstLineChars="300"/>
        <w:rPr>
          <w:rFonts w:ascii="宋体" w:cs="Arial"/>
          <w:szCs w:val="21"/>
        </w:rPr>
      </w:pPr>
      <w:r>
        <w:rPr>
          <w:rFonts w:ascii="宋体" w:hAnsi="宋体"/>
        </w:rPr>
        <w:t xml:space="preserve">3.7.5.1  </w:t>
      </w:r>
      <w:r>
        <w:rPr>
          <w:rFonts w:hint="eastAsia" w:ascii="宋体" w:hAnsi="宋体" w:cs="Arial"/>
          <w:szCs w:val="21"/>
        </w:rPr>
        <w:t>除非发生下列情况之一，评标委员会成员不得在评标中途更换：</w:t>
      </w:r>
    </w:p>
    <w:p>
      <w:pPr>
        <w:spacing w:line="360" w:lineRule="auto"/>
        <w:ind w:firstLine="567" w:firstLineChars="270"/>
        <w:rPr>
          <w:rFonts w:ascii="宋体"/>
          <w:szCs w:val="21"/>
        </w:rPr>
      </w:pPr>
      <w:r>
        <w:rPr>
          <w:rFonts w:hint="eastAsia" w:ascii="宋体" w:hAnsi="宋体"/>
          <w:szCs w:val="21"/>
        </w:rPr>
        <w:t>（</w:t>
      </w:r>
      <w:r>
        <w:rPr>
          <w:rFonts w:ascii="宋体" w:hAnsi="宋体"/>
          <w:szCs w:val="21"/>
        </w:rPr>
        <w:t>1</w:t>
      </w:r>
      <w:r>
        <w:rPr>
          <w:rFonts w:hint="eastAsia" w:ascii="宋体" w:hAnsi="宋体"/>
          <w:szCs w:val="21"/>
        </w:rPr>
        <w:t>）因不可抗拒的客观原因，不能到场或需在评标中途退出评标活动。</w:t>
      </w:r>
    </w:p>
    <w:p>
      <w:pPr>
        <w:spacing w:line="360" w:lineRule="auto"/>
        <w:ind w:firstLine="567" w:firstLineChars="270"/>
        <w:rPr>
          <w:rFonts w:ascii="宋体" w:cs="Arial"/>
          <w:szCs w:val="21"/>
        </w:rPr>
      </w:pPr>
      <w:r>
        <w:rPr>
          <w:rFonts w:hint="eastAsia" w:ascii="宋体" w:hAnsi="宋体"/>
          <w:szCs w:val="21"/>
        </w:rPr>
        <w:t>（</w:t>
      </w:r>
      <w:r>
        <w:rPr>
          <w:rFonts w:ascii="宋体" w:hAnsi="宋体"/>
          <w:szCs w:val="21"/>
        </w:rPr>
        <w:t>2</w:t>
      </w:r>
      <w:r>
        <w:rPr>
          <w:rFonts w:hint="eastAsia" w:ascii="宋体" w:hAnsi="宋体"/>
          <w:szCs w:val="21"/>
        </w:rPr>
        <w:t>）根据法</w:t>
      </w:r>
      <w:r>
        <w:rPr>
          <w:rFonts w:hint="eastAsia" w:ascii="宋体" w:hAnsi="宋体" w:cs="Arial"/>
          <w:szCs w:val="21"/>
        </w:rPr>
        <w:t>律法规规定，某个或某几个评标委员会成员需要回避。</w:t>
      </w:r>
    </w:p>
    <w:p>
      <w:pPr>
        <w:spacing w:line="360" w:lineRule="auto"/>
        <w:ind w:firstLine="630" w:firstLineChars="300"/>
        <w:rPr>
          <w:rFonts w:ascii="宋体" w:cs="Arial"/>
          <w:szCs w:val="21"/>
        </w:rPr>
      </w:pPr>
      <w:r>
        <w:rPr>
          <w:rFonts w:ascii="宋体" w:hAnsi="宋体"/>
        </w:rPr>
        <w:t xml:space="preserve">3.7.5.2  </w:t>
      </w:r>
      <w:r>
        <w:rPr>
          <w:rFonts w:hint="eastAsia" w:ascii="宋体" w:hAnsi="宋体" w:cs="Arial"/>
          <w:szCs w:val="21"/>
        </w:rPr>
        <w:t>退出评标的评标委员会成员，其已完成的评标行为无效。由招标人根据本招标文件规定的评标委员会成员产生方式另行确定替代者进行评标。</w:t>
      </w:r>
    </w:p>
    <w:p>
      <w:pPr>
        <w:spacing w:line="360" w:lineRule="auto"/>
        <w:ind w:firstLine="420" w:firstLineChars="200"/>
        <w:rPr>
          <w:rFonts w:ascii="宋体"/>
        </w:rPr>
      </w:pPr>
      <w:r>
        <w:rPr>
          <w:rFonts w:ascii="宋体" w:hAnsi="宋体"/>
        </w:rPr>
        <w:t xml:space="preserve">3.7.6  </w:t>
      </w:r>
      <w:r>
        <w:rPr>
          <w:rFonts w:hint="eastAsia" w:ascii="宋体" w:hAnsi="宋体"/>
        </w:rPr>
        <w:t>记名投票</w:t>
      </w:r>
    </w:p>
    <w:p>
      <w:pPr>
        <w:spacing w:line="360" w:lineRule="auto"/>
        <w:ind w:firstLine="420" w:firstLineChars="200"/>
        <w:rPr>
          <w:rFonts w:ascii="宋体" w:cs="Arial"/>
          <w:szCs w:val="21"/>
        </w:rPr>
      </w:pPr>
      <w:r>
        <w:rPr>
          <w:rFonts w:hint="eastAsia" w:ascii="宋体" w:hAnsi="宋体" w:cs="Arial"/>
          <w:szCs w:val="21"/>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ascii="宋体"/>
        </w:rPr>
      </w:pPr>
      <w:r>
        <w:rPr>
          <w:rFonts w:ascii="宋体" w:hAnsi="宋体"/>
        </w:rPr>
        <w:t xml:space="preserve">3.7.7  </w:t>
      </w:r>
      <w:r>
        <w:rPr>
          <w:rFonts w:hint="eastAsia" w:ascii="宋体" w:hAnsi="宋体"/>
        </w:rPr>
        <w:t>基本信息采集及</w:t>
      </w:r>
      <w:r>
        <w:rPr>
          <w:rFonts w:hint="eastAsia" w:ascii="宋体" w:hAnsi="宋体" w:cs="Arial"/>
          <w:iCs/>
          <w:szCs w:val="28"/>
        </w:rPr>
        <w:t>证明资料</w:t>
      </w:r>
    </w:p>
    <w:p>
      <w:pPr>
        <w:spacing w:line="360" w:lineRule="auto"/>
        <w:ind w:firstLine="630" w:firstLineChars="300"/>
        <w:rPr>
          <w:rFonts w:ascii="宋体" w:hAnsi="宋体"/>
        </w:rPr>
      </w:pPr>
      <w:r>
        <w:rPr>
          <w:rFonts w:ascii="宋体" w:hAnsi="宋体"/>
        </w:rPr>
        <w:t>3.7.7.1</w:t>
      </w:r>
      <w:r>
        <w:rPr>
          <w:rFonts w:hint="eastAsia" w:ascii="宋体" w:hAnsi="宋体"/>
        </w:rPr>
        <w:t xml:space="preserve">  投标人</w:t>
      </w:r>
      <w:r>
        <w:rPr>
          <w:rFonts w:hint="eastAsia" w:ascii="宋体" w:hAnsi="宋体" w:cs="Arial"/>
          <w:iCs/>
          <w:szCs w:val="28"/>
        </w:rPr>
        <w:t>的基本信息应以北京工程建设交易基础数据库中的信息为依据，并直接调用。</w:t>
      </w:r>
    </w:p>
    <w:p>
      <w:pPr>
        <w:spacing w:line="360" w:lineRule="auto"/>
        <w:ind w:firstLine="630" w:firstLineChars="300"/>
        <w:rPr>
          <w:rFonts w:ascii="宋体" w:hAnsi="宋体"/>
        </w:rPr>
      </w:pPr>
      <w:r>
        <w:rPr>
          <w:rFonts w:ascii="宋体" w:hAnsi="宋体"/>
        </w:rPr>
        <w:t>3.7.7.2</w:t>
      </w:r>
      <w:r>
        <w:rPr>
          <w:rFonts w:hint="eastAsia" w:ascii="宋体" w:hAnsi="宋体"/>
        </w:rPr>
        <w:t xml:space="preserve">  类似工程业绩信息来源渠道以住房和城乡建设部全国建筑市场监管服务平台（以下简称：“四库一平台”）的数据为准。其他来源获取的业绩不作为工程业绩使用。</w:t>
      </w:r>
    </w:p>
    <w:p>
      <w:pPr>
        <w:spacing w:line="360" w:lineRule="auto"/>
        <w:ind w:firstLine="630" w:firstLineChars="300"/>
        <w:rPr>
          <w:rFonts w:ascii="宋体" w:hAnsi="宋体"/>
        </w:rPr>
      </w:pPr>
      <w:r>
        <w:rPr>
          <w:rFonts w:hint="eastAsia" w:ascii="宋体" w:hAnsi="宋体"/>
        </w:rPr>
        <w:t>类似工程业绩证明材料提交“四库一平台”网页截图的方式实现。</w:t>
      </w:r>
    </w:p>
    <w:p>
      <w:pPr>
        <w:spacing w:line="360" w:lineRule="auto"/>
        <w:ind w:firstLine="630" w:firstLineChars="300"/>
        <w:rPr>
          <w:rFonts w:ascii="宋体" w:hAnsi="宋体"/>
        </w:rPr>
      </w:pPr>
      <w:r>
        <w:rPr>
          <w:rFonts w:hint="eastAsia" w:ascii="宋体" w:hAnsi="宋体"/>
        </w:rPr>
        <w:t>“四库一平台”网页截图应体现中标通知书或合同协议书、工程接收证书（或竣工验收备案登记表或单位工程质量竣工验收记录）中的主要信息详情（如项目名称、项目建设单位、建设规模、合同金额、开竣工日期、项目负责人姓名）。</w:t>
      </w:r>
    </w:p>
    <w:p>
      <w:pPr>
        <w:spacing w:line="360" w:lineRule="auto"/>
        <w:ind w:firstLine="630" w:firstLineChars="300"/>
        <w:rPr>
          <w:rFonts w:ascii="宋体" w:hAnsi="宋体"/>
        </w:rPr>
      </w:pPr>
      <w:r>
        <w:rPr>
          <w:rFonts w:hint="eastAsia" w:ascii="宋体" w:hAnsi="宋体"/>
        </w:rPr>
        <w:t>如“四库一平台”相关信息不完整的，投标人需要根据上述内容补充其他证明材料。其中，涉及北京市行政区域内的工程业绩，投标人可以根据上述内容补充其他证明材料，也可以直接调用北京工程建设交易基础数据库信息作为补充证明材料。</w:t>
      </w:r>
    </w:p>
    <w:p>
      <w:pPr>
        <w:spacing w:line="360" w:lineRule="auto"/>
        <w:ind w:firstLine="420" w:firstLineChars="200"/>
        <w:rPr>
          <w:rFonts w:ascii="宋体"/>
        </w:rPr>
      </w:pPr>
      <w:r>
        <w:rPr>
          <w:rFonts w:ascii="宋体" w:hAnsi="宋体"/>
        </w:rPr>
        <w:t xml:space="preserve">3.7.8  </w:t>
      </w:r>
      <w:r>
        <w:rPr>
          <w:rFonts w:hint="eastAsia" w:ascii="宋体" w:hAnsi="宋体"/>
        </w:rPr>
        <w:t>突发情况处理</w:t>
      </w:r>
    </w:p>
    <w:p>
      <w:pPr>
        <w:spacing w:line="360" w:lineRule="auto"/>
        <w:ind w:firstLine="420" w:firstLineChars="200"/>
        <w:rPr>
          <w:rFonts w:ascii="宋体" w:cs="Arial"/>
          <w:iCs/>
          <w:szCs w:val="28"/>
        </w:rPr>
      </w:pPr>
      <w:r>
        <w:rPr>
          <w:rFonts w:hint="eastAsia" w:ascii="宋体" w:hAnsi="宋体" w:cs="Arial"/>
          <w:iCs/>
          <w:szCs w:val="28"/>
        </w:rPr>
        <w:t>评标时，如遇系统故障等突发事件，评标专家应及时与现场工作人员沟通解决。</w:t>
      </w:r>
    </w:p>
    <w:p>
      <w:pPr>
        <w:pStyle w:val="144"/>
        <w:adjustRightInd w:val="0"/>
        <w:snapToGrid w:val="0"/>
        <w:spacing w:before="120" w:after="120"/>
      </w:pPr>
      <w:bookmarkStart w:id="1327" w:name="_Toc403052585"/>
      <w:bookmarkStart w:id="1328" w:name="_Toc403059528"/>
      <w:bookmarkStart w:id="1329" w:name="_Toc490222482"/>
      <w:bookmarkStart w:id="1330" w:name="_Toc483675427"/>
      <w:bookmarkStart w:id="1331" w:name="_Toc486580036"/>
      <w:bookmarkStart w:id="1332" w:name="_Toc489279848"/>
      <w:bookmarkStart w:id="1333" w:name="_Toc117350401"/>
      <w:r>
        <w:t>4.</w:t>
      </w:r>
      <w:r>
        <w:rPr>
          <w:rFonts w:hint="eastAsia"/>
        </w:rPr>
        <w:t>补充条款</w:t>
      </w:r>
      <w:bookmarkEnd w:id="1327"/>
      <w:bookmarkEnd w:id="1328"/>
      <w:bookmarkEnd w:id="1329"/>
      <w:bookmarkEnd w:id="1330"/>
      <w:bookmarkEnd w:id="1331"/>
      <w:bookmarkEnd w:id="1332"/>
      <w:bookmarkEnd w:id="1333"/>
    </w:p>
    <w:p>
      <w:pPr>
        <w:spacing w:line="360" w:lineRule="auto"/>
        <w:ind w:firstLine="420" w:firstLineChars="200"/>
        <w:rPr>
          <w:rFonts w:ascii="宋体" w:cs="Arial"/>
          <w:szCs w:val="21"/>
        </w:rPr>
      </w:pPr>
      <w:bookmarkStart w:id="1334" w:name="_Toc403052586"/>
      <w:bookmarkStart w:id="1335" w:name="_Toc479499207"/>
      <w:bookmarkStart w:id="1336" w:name="_Toc403054346"/>
      <w:bookmarkStart w:id="1337" w:name="_Toc479499821"/>
      <w:bookmarkStart w:id="1338" w:name="_Toc403059529"/>
      <w:r>
        <w:rPr>
          <w:rFonts w:hint="eastAsia" w:ascii="宋体" w:hAnsi="宋体" w:cs="Arial"/>
          <w:szCs w:val="21"/>
        </w:rPr>
        <w:t>补充条款</w:t>
      </w:r>
      <w:r>
        <w:rPr>
          <w:rFonts w:hint="eastAsia" w:ascii="黑体" w:hAnsi="黑体" w:eastAsia="黑体" w:cs="Arial"/>
          <w:szCs w:val="21"/>
        </w:rPr>
        <w:t>见评标办法专用部分</w:t>
      </w:r>
      <w:r>
        <w:rPr>
          <w:rFonts w:hint="eastAsia" w:ascii="宋体" w:hAnsi="宋体" w:cs="Arial"/>
          <w:szCs w:val="21"/>
        </w:rPr>
        <w:t>。</w:t>
      </w:r>
      <w:bookmarkEnd w:id="1334"/>
      <w:bookmarkEnd w:id="1335"/>
      <w:bookmarkEnd w:id="1336"/>
      <w:bookmarkEnd w:id="1337"/>
      <w:bookmarkEnd w:id="1338"/>
    </w:p>
    <w:p>
      <w:pPr>
        <w:pStyle w:val="144"/>
        <w:keepNext w:val="0"/>
        <w:keepLines w:val="0"/>
        <w:spacing w:before="120" w:after="120"/>
        <w:ind w:firstLine="420" w:firstLineChars="200"/>
        <w:outlineLvl w:val="0"/>
        <w:rPr>
          <w:rFonts w:cs="Arial"/>
          <w:sz w:val="21"/>
          <w:szCs w:val="21"/>
        </w:rPr>
      </w:pPr>
    </w:p>
    <w:bookmarkEnd w:id="1169"/>
    <w:bookmarkEnd w:id="1170"/>
    <w:bookmarkEnd w:id="1171"/>
    <w:bookmarkEnd w:id="1172"/>
    <w:bookmarkEnd w:id="1173"/>
    <w:bookmarkEnd w:id="1174"/>
    <w:bookmarkEnd w:id="1175"/>
    <w:bookmarkEnd w:id="1176"/>
    <w:bookmarkEnd w:id="1177"/>
    <w:bookmarkEnd w:id="1178"/>
    <w:bookmarkEnd w:id="1179"/>
    <w:p>
      <w:pPr>
        <w:pStyle w:val="155"/>
        <w:adjustRightInd w:val="0"/>
        <w:snapToGrid w:val="0"/>
        <w:spacing w:before="120" w:after="120"/>
        <w:jc w:val="left"/>
        <w:outlineLvl w:val="1"/>
        <w:rPr>
          <w:szCs w:val="24"/>
        </w:rPr>
      </w:pPr>
      <w:r>
        <w:rPr>
          <w:rFonts w:cs="Arial"/>
        </w:rPr>
        <w:br w:type="page"/>
      </w:r>
      <w:bookmarkEnd w:id="1079"/>
      <w:bookmarkEnd w:id="1080"/>
      <w:bookmarkEnd w:id="1081"/>
      <w:bookmarkEnd w:id="1082"/>
      <w:bookmarkEnd w:id="1083"/>
      <w:bookmarkStart w:id="1339" w:name="_Toc486580037"/>
      <w:bookmarkStart w:id="1340" w:name="_Toc483675428"/>
      <w:bookmarkStart w:id="1341" w:name="_Toc489279849"/>
      <w:bookmarkStart w:id="1342" w:name="_Toc360107147"/>
      <w:bookmarkStart w:id="1343" w:name="_Toc482640960"/>
      <w:bookmarkStart w:id="1344" w:name="_Toc117350402"/>
      <w:bookmarkStart w:id="1345" w:name="_Toc342296256"/>
      <w:bookmarkStart w:id="1346" w:name="_Toc241459653"/>
      <w:bookmarkStart w:id="1347" w:name="_Toc429569232"/>
      <w:r>
        <w:rPr>
          <w:rFonts w:hint="eastAsia"/>
        </w:rPr>
        <w:t>附件</w:t>
      </w:r>
      <w:r>
        <w:t>A</w:t>
      </w:r>
      <w:r>
        <w:rPr>
          <w:rFonts w:hint="eastAsia"/>
        </w:rPr>
        <w:t>：否决投标条件</w:t>
      </w:r>
      <w:bookmarkEnd w:id="1339"/>
      <w:bookmarkEnd w:id="1340"/>
      <w:bookmarkEnd w:id="1341"/>
      <w:bookmarkEnd w:id="1342"/>
      <w:bookmarkEnd w:id="1343"/>
      <w:bookmarkEnd w:id="1344"/>
    </w:p>
    <w:p>
      <w:pPr>
        <w:spacing w:after="120" w:afterLines="50" w:line="360" w:lineRule="auto"/>
        <w:jc w:val="center"/>
        <w:rPr>
          <w:rFonts w:ascii="宋体" w:cs="Arial"/>
          <w:b/>
          <w:bCs/>
          <w:sz w:val="28"/>
          <w:szCs w:val="28"/>
        </w:rPr>
      </w:pPr>
      <w:r>
        <w:rPr>
          <w:rFonts w:hint="eastAsia" w:ascii="宋体" w:hAnsi="宋体" w:cs="Arial"/>
          <w:b/>
          <w:bCs/>
          <w:sz w:val="28"/>
          <w:szCs w:val="28"/>
        </w:rPr>
        <w:t>否决投标条件</w:t>
      </w:r>
    </w:p>
    <w:p>
      <w:pPr>
        <w:adjustRightInd w:val="0"/>
        <w:snapToGrid w:val="0"/>
        <w:spacing w:line="360" w:lineRule="auto"/>
        <w:ind w:firstLine="420" w:firstLineChars="200"/>
        <w:rPr>
          <w:rFonts w:ascii="黑体" w:hAnsi="黑体" w:eastAsia="黑体" w:cs="Arial"/>
          <w:szCs w:val="21"/>
        </w:rPr>
      </w:pPr>
      <w:r>
        <w:rPr>
          <w:rFonts w:hint="eastAsia" w:ascii="宋体" w:hAnsi="宋体"/>
        </w:rPr>
        <w:t>否决投标条件的相关约定</w:t>
      </w:r>
      <w:r>
        <w:rPr>
          <w:rFonts w:hint="eastAsia" w:ascii="黑体" w:hAnsi="黑体" w:eastAsia="黑体"/>
        </w:rPr>
        <w:t>见评标办法专用部分。</w:t>
      </w:r>
    </w:p>
    <w:p>
      <w:pPr>
        <w:spacing w:line="360" w:lineRule="auto"/>
        <w:ind w:firstLine="632" w:firstLineChars="225"/>
        <w:rPr>
          <w:rFonts w:ascii="宋体" w:cs="Arial"/>
          <w:szCs w:val="21"/>
        </w:rPr>
      </w:pPr>
      <w:r>
        <w:rPr>
          <w:rFonts w:cs="Arial"/>
          <w:b/>
          <w:bCs/>
          <w:sz w:val="28"/>
          <w:szCs w:val="28"/>
        </w:rPr>
        <w:br w:type="page"/>
      </w:r>
      <w:bookmarkEnd w:id="1345"/>
      <w:bookmarkEnd w:id="1346"/>
      <w:bookmarkEnd w:id="1347"/>
    </w:p>
    <w:p>
      <w:pPr>
        <w:pStyle w:val="155"/>
        <w:spacing w:before="120" w:after="120"/>
        <w:outlineLvl w:val="1"/>
        <w:rPr>
          <w:b/>
        </w:rPr>
      </w:pPr>
      <w:bookmarkStart w:id="1348" w:name="_Toc483675429"/>
      <w:bookmarkStart w:id="1349" w:name="_Toc486580038"/>
      <w:bookmarkStart w:id="1350" w:name="_Toc489279850"/>
      <w:bookmarkStart w:id="1351" w:name="_Toc490222483"/>
      <w:bookmarkStart w:id="1352" w:name="_Toc10233473"/>
      <w:bookmarkStart w:id="1353" w:name="_Toc117350403"/>
      <w:bookmarkStart w:id="1354" w:name="_Hlk117080975"/>
      <w:bookmarkStart w:id="1355" w:name="_Toc429569260"/>
      <w:bookmarkStart w:id="1356" w:name="_Toc479499854"/>
      <w:bookmarkStart w:id="1357" w:name="_Toc342296257"/>
      <w:bookmarkStart w:id="1358" w:name="_Toc241459654"/>
      <w:bookmarkStart w:id="1359" w:name="_Toc490222484"/>
      <w:bookmarkStart w:id="1360" w:name="_Toc483675430"/>
      <w:bookmarkStart w:id="1361" w:name="_Toc489279851"/>
      <w:bookmarkStart w:id="1362" w:name="_Toc486580039"/>
      <w:r>
        <w:rPr>
          <w:rFonts w:hint="eastAsia"/>
        </w:rPr>
        <w:t>附件</w:t>
      </w:r>
      <w:r>
        <w:t>B</w:t>
      </w:r>
      <w:r>
        <w:rPr>
          <w:rFonts w:hint="eastAsia"/>
        </w:rPr>
        <w:t>：投标人成本评审办法</w:t>
      </w:r>
      <w:bookmarkEnd w:id="1348"/>
      <w:bookmarkEnd w:id="1349"/>
      <w:bookmarkEnd w:id="1350"/>
      <w:bookmarkEnd w:id="1351"/>
      <w:bookmarkEnd w:id="1352"/>
      <w:bookmarkEnd w:id="1353"/>
    </w:p>
    <w:p>
      <w:pPr>
        <w:spacing w:after="120" w:afterLines="50" w:line="360" w:lineRule="auto"/>
        <w:jc w:val="center"/>
        <w:rPr>
          <w:rFonts w:ascii="宋体" w:cs="Arial"/>
          <w:b/>
          <w:bCs/>
          <w:sz w:val="28"/>
          <w:szCs w:val="28"/>
        </w:rPr>
      </w:pPr>
      <w:r>
        <w:rPr>
          <w:rFonts w:hint="eastAsia" w:ascii="宋体" w:hAnsi="宋体" w:cs="Arial"/>
          <w:b/>
          <w:bCs/>
          <w:sz w:val="28"/>
          <w:szCs w:val="28"/>
        </w:rPr>
        <w:t>投标人成本评审办法</w:t>
      </w:r>
    </w:p>
    <w:p>
      <w:pPr>
        <w:spacing w:line="360" w:lineRule="auto"/>
        <w:rPr>
          <w:rFonts w:ascii="宋体"/>
        </w:rPr>
      </w:pPr>
      <w:bookmarkStart w:id="1363" w:name="_Toc429569233"/>
      <w:bookmarkStart w:id="1364" w:name="_Toc479499827"/>
      <w:bookmarkStart w:id="1365" w:name="_Toc480140218"/>
      <w:bookmarkStart w:id="1366" w:name="_Toc480140461"/>
      <w:r>
        <w:rPr>
          <w:rFonts w:ascii="宋体" w:hAnsi="宋体"/>
        </w:rPr>
        <w:t>B0.</w:t>
      </w:r>
      <w:r>
        <w:rPr>
          <w:rFonts w:hint="eastAsia" w:ascii="宋体" w:hAnsi="宋体"/>
        </w:rPr>
        <w:t>总则</w:t>
      </w:r>
      <w:bookmarkEnd w:id="1363"/>
      <w:bookmarkEnd w:id="1364"/>
      <w:bookmarkEnd w:id="1365"/>
      <w:bookmarkEnd w:id="1366"/>
    </w:p>
    <w:p>
      <w:pPr>
        <w:pStyle w:val="147"/>
        <w:spacing w:line="360" w:lineRule="auto"/>
        <w:ind w:left="0" w:firstLine="430" w:firstLineChars="205"/>
        <w:rPr>
          <w:rFonts w:ascii="宋体"/>
        </w:rPr>
      </w:pPr>
      <w:r>
        <w:rPr>
          <w:rFonts w:hint="eastAsia" w:ascii="宋体" w:hAnsi="宋体"/>
        </w:rPr>
        <w:t>本附件是本章“评标办法”的组成部分，评标委员会按照本章相关规定，对投标人投标报价是否低于其成本进行评审和判断时，适用本附件所规定的办法。</w:t>
      </w:r>
    </w:p>
    <w:p>
      <w:pPr>
        <w:spacing w:line="360" w:lineRule="auto"/>
        <w:rPr>
          <w:rFonts w:ascii="宋体" w:cs="Arial"/>
          <w:szCs w:val="21"/>
        </w:rPr>
      </w:pPr>
      <w:bookmarkStart w:id="1367" w:name="_Toc429569234"/>
      <w:bookmarkStart w:id="1368" w:name="_Toc479499828"/>
      <w:bookmarkStart w:id="1369" w:name="_Toc480140219"/>
      <w:bookmarkStart w:id="1370" w:name="_Toc480140462"/>
      <w:r>
        <w:rPr>
          <w:rFonts w:ascii="宋体" w:hAnsi="宋体" w:cs="Arial"/>
          <w:szCs w:val="21"/>
        </w:rPr>
        <w:t>B1.</w:t>
      </w:r>
      <w:r>
        <w:rPr>
          <w:rFonts w:hint="eastAsia" w:ascii="宋体" w:hAnsi="宋体" w:cs="Arial"/>
          <w:szCs w:val="21"/>
        </w:rPr>
        <w:t>评审程序</w:t>
      </w:r>
      <w:bookmarkEnd w:id="1367"/>
      <w:bookmarkEnd w:id="1368"/>
      <w:bookmarkEnd w:id="1369"/>
      <w:bookmarkEnd w:id="1370"/>
    </w:p>
    <w:p>
      <w:pPr>
        <w:spacing w:line="360" w:lineRule="auto"/>
        <w:rPr>
          <w:rFonts w:ascii="宋体" w:cs="Arial"/>
          <w:szCs w:val="21"/>
        </w:rPr>
      </w:pPr>
      <w:bookmarkStart w:id="1371" w:name="_Toc429569235"/>
      <w:bookmarkStart w:id="1372" w:name="_Toc479499829"/>
      <w:bookmarkStart w:id="1373" w:name="_Toc480140220"/>
      <w:bookmarkStart w:id="1374" w:name="_Toc480140463"/>
      <w:r>
        <w:rPr>
          <w:rFonts w:ascii="宋体" w:hAnsi="宋体" w:cs="Arial"/>
          <w:szCs w:val="21"/>
        </w:rPr>
        <w:t>B1.1</w:t>
      </w:r>
      <w:r>
        <w:rPr>
          <w:rFonts w:hint="eastAsia" w:ascii="宋体" w:hAnsi="宋体" w:cs="Arial"/>
          <w:szCs w:val="21"/>
        </w:rPr>
        <w:t>启动成本评审工作的前提条件</w:t>
      </w:r>
      <w:bookmarkEnd w:id="1371"/>
      <w:bookmarkEnd w:id="1372"/>
      <w:bookmarkEnd w:id="1373"/>
      <w:bookmarkEnd w:id="1374"/>
    </w:p>
    <w:p>
      <w:pPr>
        <w:spacing w:line="360" w:lineRule="auto"/>
        <w:ind w:firstLine="472" w:firstLineChars="225"/>
        <w:rPr>
          <w:rFonts w:ascii="宋体" w:cs="Arial"/>
          <w:szCs w:val="21"/>
        </w:rPr>
      </w:pPr>
      <w:r>
        <w:rPr>
          <w:rFonts w:hint="eastAsia" w:ascii="宋体" w:hAnsi="宋体" w:cs="Arial"/>
          <w:szCs w:val="21"/>
        </w:rPr>
        <w:t>在满足下列两项条件的前提下，评标委员会应当启动并进行本办法所规定的评审，以判别投标人的投标报价是否低于其成本：</w:t>
      </w:r>
    </w:p>
    <w:p>
      <w:pPr>
        <w:spacing w:line="360" w:lineRule="auto"/>
        <w:ind w:firstLine="472" w:firstLineChars="225"/>
        <w:rPr>
          <w:rFonts w:ascii="宋体" w:cs="Arial"/>
          <w:szCs w:val="21"/>
        </w:rPr>
      </w:pPr>
      <w:r>
        <w:rPr>
          <w:rFonts w:ascii="宋体" w:hAnsi="宋体" w:cs="Arial"/>
          <w:szCs w:val="21"/>
        </w:rPr>
        <w:t>B1.1.1</w:t>
      </w:r>
      <w:r>
        <w:rPr>
          <w:rFonts w:hint="eastAsia" w:ascii="宋体" w:hAnsi="宋体" w:cs="Arial"/>
          <w:szCs w:val="21"/>
        </w:rPr>
        <w:t>投标人的投标文件已经通过本章“评标办法”规定的“初步评审”，不存在应当否决的情形；</w:t>
      </w:r>
    </w:p>
    <w:p>
      <w:pPr>
        <w:spacing w:line="360" w:lineRule="auto"/>
        <w:ind w:firstLine="472" w:firstLineChars="225"/>
        <w:rPr>
          <w:rFonts w:ascii="宋体" w:cs="Arial"/>
          <w:szCs w:val="21"/>
          <w:u w:val="single"/>
        </w:rPr>
      </w:pPr>
      <w:r>
        <w:rPr>
          <w:rFonts w:ascii="宋体" w:hAnsi="宋体" w:cs="Arial"/>
          <w:szCs w:val="21"/>
        </w:rPr>
        <w:t>B1.1.2</w:t>
      </w:r>
      <w:r>
        <w:rPr>
          <w:rFonts w:hint="eastAsia" w:ascii="宋体" w:hAnsi="宋体" w:cs="Arial"/>
          <w:szCs w:val="21"/>
        </w:rPr>
        <w:t>投标人的投标报价低于（不含）约定限度的或评标委员会认为投标报价组成明显不合理的。投标人的投标报价低于（不含）的限度</w:t>
      </w:r>
      <w:r>
        <w:rPr>
          <w:rFonts w:hint="eastAsia" w:ascii="黑体" w:hAnsi="黑体" w:eastAsia="黑体" w:cs="Arial"/>
          <w:szCs w:val="21"/>
        </w:rPr>
        <w:t>见评标办法专用部分附件</w:t>
      </w:r>
      <w:r>
        <w:rPr>
          <w:rFonts w:ascii="黑体" w:hAnsi="黑体" w:eastAsia="黑体" w:cs="Arial"/>
          <w:szCs w:val="21"/>
        </w:rPr>
        <w:t>B</w:t>
      </w:r>
      <w:r>
        <w:rPr>
          <w:rFonts w:hint="eastAsia" w:ascii="宋体" w:hAnsi="宋体" w:cs="Arial"/>
          <w:szCs w:val="21"/>
        </w:rPr>
        <w:t>。</w:t>
      </w:r>
    </w:p>
    <w:p>
      <w:pPr>
        <w:spacing w:line="360" w:lineRule="auto"/>
        <w:rPr>
          <w:rFonts w:ascii="宋体" w:cs="Arial"/>
          <w:szCs w:val="21"/>
        </w:rPr>
      </w:pPr>
      <w:bookmarkStart w:id="1375" w:name="_Toc480140464"/>
      <w:bookmarkStart w:id="1376" w:name="_Toc429569236"/>
      <w:bookmarkStart w:id="1377" w:name="_Toc479499830"/>
      <w:bookmarkStart w:id="1378" w:name="_Toc480140221"/>
      <w:r>
        <w:rPr>
          <w:rFonts w:ascii="宋体" w:hAnsi="宋体" w:cs="Arial"/>
          <w:szCs w:val="21"/>
        </w:rPr>
        <w:t>B1.2</w:t>
      </w:r>
      <w:r>
        <w:rPr>
          <w:rFonts w:hint="eastAsia" w:ascii="宋体" w:hAnsi="宋体" w:cs="Arial"/>
          <w:szCs w:val="21"/>
        </w:rPr>
        <w:t>对投标价格的合理性进行评审</w:t>
      </w:r>
      <w:bookmarkEnd w:id="1375"/>
      <w:bookmarkEnd w:id="1376"/>
      <w:bookmarkEnd w:id="1377"/>
      <w:bookmarkEnd w:id="1378"/>
    </w:p>
    <w:p>
      <w:pPr>
        <w:spacing w:line="360" w:lineRule="auto"/>
        <w:ind w:firstLine="472" w:firstLineChars="225"/>
        <w:rPr>
          <w:rFonts w:ascii="宋体" w:cs="Arial"/>
          <w:szCs w:val="21"/>
        </w:rPr>
      </w:pPr>
      <w:r>
        <w:rPr>
          <w:rFonts w:hint="eastAsia" w:ascii="宋体" w:hAnsi="宋体" w:cs="Arial"/>
          <w:szCs w:val="21"/>
        </w:rPr>
        <w:t>评标委员会结合清标成果，对各个投标价格和影响投标价格合理性的以下因素逐一进行分析，并修正其中任何可能存在的错误和不合理内容：</w:t>
      </w:r>
    </w:p>
    <w:p>
      <w:pPr>
        <w:pStyle w:val="147"/>
        <w:spacing w:line="360" w:lineRule="auto"/>
        <w:ind w:left="0" w:firstLine="420" w:firstLineChars="200"/>
        <w:rPr>
          <w:rFonts w:ascii="宋体"/>
        </w:rPr>
      </w:pPr>
      <w:bookmarkStart w:id="1379" w:name="_Toc429569237"/>
      <w:bookmarkStart w:id="1380" w:name="_Toc479499831"/>
      <w:bookmarkStart w:id="1381" w:name="_Toc480140222"/>
      <w:bookmarkStart w:id="1382" w:name="_Toc480140465"/>
      <w:r>
        <w:rPr>
          <w:rFonts w:hint="eastAsia" w:ascii="宋体" w:hAnsi="宋体"/>
        </w:rPr>
        <w:t>（</w:t>
      </w:r>
      <w:r>
        <w:rPr>
          <w:rFonts w:ascii="宋体" w:hAnsi="宋体"/>
        </w:rPr>
        <w:t>1</w:t>
      </w:r>
      <w:r>
        <w:rPr>
          <w:rFonts w:hint="eastAsia" w:ascii="宋体" w:hAnsi="宋体"/>
        </w:rPr>
        <w:t>）算术性错误分析和修正；</w:t>
      </w:r>
    </w:p>
    <w:p>
      <w:pPr>
        <w:pStyle w:val="147"/>
        <w:spacing w:line="360" w:lineRule="auto"/>
        <w:ind w:left="0" w:firstLine="420" w:firstLineChars="200"/>
        <w:rPr>
          <w:rFonts w:ascii="宋体"/>
        </w:rPr>
      </w:pPr>
      <w:r>
        <w:rPr>
          <w:rFonts w:hint="eastAsia" w:ascii="宋体" w:hAnsi="宋体"/>
        </w:rPr>
        <w:t>（</w:t>
      </w:r>
      <w:r>
        <w:rPr>
          <w:rFonts w:ascii="宋体" w:hAnsi="宋体"/>
        </w:rPr>
        <w:t>2</w:t>
      </w:r>
      <w:r>
        <w:rPr>
          <w:rFonts w:hint="eastAsia" w:ascii="宋体" w:hAnsi="宋体"/>
        </w:rPr>
        <w:t>）错漏项分析和修正；</w:t>
      </w:r>
    </w:p>
    <w:p>
      <w:pPr>
        <w:pStyle w:val="147"/>
        <w:spacing w:line="360" w:lineRule="auto"/>
        <w:ind w:left="0" w:firstLine="420" w:firstLineChars="200"/>
        <w:rPr>
          <w:rFonts w:ascii="宋体"/>
        </w:rPr>
      </w:pPr>
      <w:r>
        <w:rPr>
          <w:rFonts w:hint="eastAsia" w:ascii="宋体" w:hAnsi="宋体"/>
        </w:rPr>
        <w:t>（</w:t>
      </w:r>
      <w:r>
        <w:rPr>
          <w:rFonts w:ascii="宋体" w:hAnsi="宋体"/>
        </w:rPr>
        <w:t>3</w:t>
      </w:r>
      <w:r>
        <w:rPr>
          <w:rFonts w:hint="eastAsia" w:ascii="宋体" w:hAnsi="宋体"/>
        </w:rPr>
        <w:t>）分部分项工程和单价措施项目清单部分价格合理性分析和修正；</w:t>
      </w:r>
    </w:p>
    <w:p>
      <w:pPr>
        <w:pStyle w:val="147"/>
        <w:spacing w:line="360" w:lineRule="auto"/>
        <w:ind w:left="0" w:firstLine="420" w:firstLineChars="200"/>
        <w:rPr>
          <w:rFonts w:ascii="宋体"/>
        </w:rPr>
      </w:pPr>
      <w:r>
        <w:rPr>
          <w:rFonts w:hint="eastAsia" w:ascii="宋体" w:hAnsi="宋体"/>
        </w:rPr>
        <w:t>（</w:t>
      </w:r>
      <w:r>
        <w:rPr>
          <w:rFonts w:ascii="宋体" w:hAnsi="宋体"/>
        </w:rPr>
        <w:t>4</w:t>
      </w:r>
      <w:r>
        <w:rPr>
          <w:rFonts w:hint="eastAsia" w:ascii="宋体" w:hAnsi="宋体"/>
        </w:rPr>
        <w:t>）总价措施项目清单和其他项目清单部分价格合理性分析和修正；</w:t>
      </w:r>
    </w:p>
    <w:p>
      <w:pPr>
        <w:pStyle w:val="147"/>
        <w:spacing w:line="360" w:lineRule="auto"/>
        <w:ind w:left="0" w:firstLine="420" w:firstLineChars="200"/>
        <w:rPr>
          <w:rFonts w:ascii="宋体" w:hAnsi="宋体"/>
        </w:rPr>
      </w:pPr>
      <w:r>
        <w:rPr>
          <w:rFonts w:hint="eastAsia" w:ascii="宋体" w:hAnsi="宋体"/>
        </w:rPr>
        <w:t>（</w:t>
      </w:r>
      <w:r>
        <w:rPr>
          <w:rFonts w:ascii="宋体" w:hAnsi="宋体"/>
        </w:rPr>
        <w:t>5</w:t>
      </w:r>
      <w:r>
        <w:rPr>
          <w:rFonts w:hint="eastAsia" w:ascii="宋体" w:hAnsi="宋体"/>
        </w:rPr>
        <w:t>）企业管理费合理性分析和修正；</w:t>
      </w:r>
    </w:p>
    <w:p>
      <w:pPr>
        <w:pStyle w:val="147"/>
        <w:spacing w:line="360" w:lineRule="auto"/>
        <w:ind w:left="0" w:firstLine="420" w:firstLineChars="200"/>
        <w:rPr>
          <w:rFonts w:ascii="宋体" w:hAnsi="宋体"/>
        </w:rPr>
      </w:pPr>
      <w:r>
        <w:rPr>
          <w:rFonts w:hint="eastAsia" w:ascii="宋体" w:hAnsi="宋体"/>
        </w:rPr>
        <w:t>（</w:t>
      </w:r>
      <w:r>
        <w:rPr>
          <w:rFonts w:ascii="宋体" w:hAnsi="宋体"/>
        </w:rPr>
        <w:t>6</w:t>
      </w:r>
      <w:r>
        <w:rPr>
          <w:rFonts w:hint="eastAsia" w:ascii="宋体" w:hAnsi="宋体"/>
        </w:rPr>
        <w:t>）利润水平合理性分析和修正；</w:t>
      </w:r>
    </w:p>
    <w:p>
      <w:pPr>
        <w:pStyle w:val="147"/>
        <w:spacing w:line="360" w:lineRule="auto"/>
        <w:ind w:left="0" w:firstLine="420" w:firstLineChars="200"/>
        <w:rPr>
          <w:rFonts w:ascii="宋体" w:hAnsi="宋体"/>
        </w:rPr>
      </w:pPr>
      <w:bookmarkStart w:id="1383" w:name="_Hlk119052046"/>
      <w:r>
        <w:rPr>
          <w:rFonts w:hint="eastAsia" w:ascii="宋体" w:hAnsi="宋体"/>
        </w:rPr>
        <w:t>（</w:t>
      </w:r>
      <w:r>
        <w:rPr>
          <w:rFonts w:ascii="宋体" w:hAnsi="宋体"/>
        </w:rPr>
        <w:t>7</w:t>
      </w:r>
      <w:r>
        <w:rPr>
          <w:rFonts w:hint="eastAsia" w:ascii="宋体" w:hAnsi="宋体"/>
        </w:rPr>
        <w:t>）法定规费的完整性分析和修正；</w:t>
      </w:r>
    </w:p>
    <w:p>
      <w:pPr>
        <w:pStyle w:val="147"/>
        <w:spacing w:line="360" w:lineRule="auto"/>
        <w:ind w:left="0" w:firstLine="420" w:firstLineChars="200"/>
        <w:rPr>
          <w:rFonts w:ascii="宋体"/>
        </w:rPr>
      </w:pPr>
      <w:r>
        <w:rPr>
          <w:rFonts w:hint="eastAsia" w:ascii="宋体" w:hAnsi="宋体"/>
        </w:rPr>
        <w:t>（</w:t>
      </w:r>
      <w:r>
        <w:rPr>
          <w:rFonts w:ascii="宋体" w:hAnsi="宋体"/>
        </w:rPr>
        <w:t>8</w:t>
      </w:r>
      <w:r>
        <w:rPr>
          <w:rFonts w:hint="eastAsia" w:ascii="宋体" w:hAnsi="宋体"/>
        </w:rPr>
        <w:t>）法定税金的完整性分析和修正；</w:t>
      </w:r>
    </w:p>
    <w:p>
      <w:pPr>
        <w:pStyle w:val="147"/>
        <w:spacing w:line="360" w:lineRule="auto"/>
        <w:ind w:left="0" w:firstLine="420" w:firstLineChars="200"/>
        <w:rPr>
          <w:rFonts w:ascii="宋体"/>
        </w:rPr>
      </w:pPr>
      <w:r>
        <w:rPr>
          <w:rFonts w:hint="eastAsia" w:ascii="宋体" w:hAnsi="宋体"/>
        </w:rPr>
        <w:t>（</w:t>
      </w:r>
      <w:r>
        <w:rPr>
          <w:rFonts w:ascii="宋体" w:hAnsi="宋体"/>
        </w:rPr>
        <w:t>9</w:t>
      </w:r>
      <w:r>
        <w:rPr>
          <w:rFonts w:hint="eastAsia" w:ascii="宋体" w:hAnsi="宋体"/>
        </w:rPr>
        <w:t>）不平衡报价分析和修正。</w:t>
      </w:r>
    </w:p>
    <w:bookmarkEnd w:id="1383"/>
    <w:p>
      <w:pPr>
        <w:spacing w:line="360" w:lineRule="auto"/>
        <w:rPr>
          <w:rFonts w:ascii="宋体" w:cs="Arial"/>
          <w:szCs w:val="21"/>
        </w:rPr>
      </w:pPr>
      <w:r>
        <w:rPr>
          <w:rFonts w:ascii="宋体" w:hAnsi="宋体" w:cs="Arial"/>
          <w:szCs w:val="21"/>
        </w:rPr>
        <w:t xml:space="preserve">B1.3 </w:t>
      </w:r>
      <w:r>
        <w:rPr>
          <w:rFonts w:hint="eastAsia" w:ascii="宋体" w:hAnsi="宋体" w:cs="Arial"/>
          <w:szCs w:val="21"/>
        </w:rPr>
        <w:t>澄清、说明或补正</w:t>
      </w:r>
      <w:bookmarkEnd w:id="1379"/>
      <w:bookmarkEnd w:id="1380"/>
      <w:bookmarkEnd w:id="1381"/>
      <w:bookmarkEnd w:id="1382"/>
    </w:p>
    <w:p>
      <w:pPr>
        <w:spacing w:line="360" w:lineRule="auto"/>
        <w:ind w:firstLine="472" w:firstLineChars="225"/>
        <w:rPr>
          <w:rFonts w:ascii="宋体" w:cs="Arial"/>
          <w:szCs w:val="21"/>
        </w:rPr>
      </w:pPr>
      <w:r>
        <w:rPr>
          <w:rFonts w:hint="eastAsia" w:ascii="宋体" w:hAnsi="宋体" w:cs="Arial"/>
          <w:szCs w:val="21"/>
        </w:rPr>
        <w:t>评标委员会汇总对投标报价的疑问，启动“澄清、说明或补正”程序，发出问题澄清通知并附上质疑问卷，要求投标人进行澄清和说明并提交有关证明材料。</w:t>
      </w:r>
    </w:p>
    <w:p>
      <w:pPr>
        <w:spacing w:line="360" w:lineRule="auto"/>
        <w:rPr>
          <w:rFonts w:ascii="宋体" w:cs="Arial"/>
          <w:szCs w:val="21"/>
        </w:rPr>
      </w:pPr>
      <w:bookmarkStart w:id="1384" w:name="_Toc429569238"/>
      <w:bookmarkStart w:id="1385" w:name="_Toc479499832"/>
      <w:bookmarkStart w:id="1386" w:name="_Toc480140223"/>
      <w:bookmarkStart w:id="1387" w:name="_Toc480140466"/>
      <w:r>
        <w:rPr>
          <w:rFonts w:ascii="宋体" w:hAnsi="宋体" w:cs="Arial"/>
          <w:szCs w:val="21"/>
        </w:rPr>
        <w:t xml:space="preserve">B1.4 </w:t>
      </w:r>
      <w:r>
        <w:rPr>
          <w:rFonts w:hint="eastAsia" w:ascii="宋体" w:hAnsi="宋体" w:cs="Arial"/>
          <w:szCs w:val="21"/>
        </w:rPr>
        <w:t>判断投标报价是否低于其成本</w:t>
      </w:r>
      <w:bookmarkEnd w:id="1384"/>
      <w:bookmarkEnd w:id="1385"/>
      <w:bookmarkEnd w:id="1386"/>
      <w:bookmarkEnd w:id="1387"/>
    </w:p>
    <w:p>
      <w:pPr>
        <w:spacing w:line="360" w:lineRule="auto"/>
        <w:ind w:firstLine="472" w:firstLineChars="225"/>
        <w:rPr>
          <w:rFonts w:ascii="宋体" w:cs="Arial"/>
          <w:szCs w:val="21"/>
        </w:rPr>
      </w:pPr>
      <w:r>
        <w:rPr>
          <w:rFonts w:hint="eastAsia" w:ascii="宋体" w:hAnsi="宋体" w:cs="Arial"/>
          <w:szCs w:val="21"/>
        </w:rPr>
        <w:t>评标委员会根据投标人澄清和说明的结果，计算出对投标人投标报价进行合理化修正后所产生的最终差额，判断投标人的投标报价是否低于其成本。</w:t>
      </w:r>
    </w:p>
    <w:p>
      <w:pPr>
        <w:spacing w:line="360" w:lineRule="auto"/>
        <w:rPr>
          <w:rFonts w:ascii="宋体" w:cs="Arial"/>
          <w:szCs w:val="21"/>
        </w:rPr>
      </w:pPr>
      <w:bookmarkStart w:id="1388" w:name="_Toc429569239"/>
      <w:bookmarkStart w:id="1389" w:name="_Toc479499833"/>
      <w:bookmarkStart w:id="1390" w:name="_Toc480140224"/>
      <w:bookmarkStart w:id="1391" w:name="_Toc480140467"/>
      <w:r>
        <w:rPr>
          <w:rFonts w:ascii="宋体" w:hAnsi="宋体" w:cs="Arial"/>
          <w:szCs w:val="21"/>
        </w:rPr>
        <w:t>B2.</w:t>
      </w:r>
      <w:r>
        <w:rPr>
          <w:rFonts w:hint="eastAsia" w:ascii="宋体" w:hAnsi="宋体" w:cs="Arial"/>
          <w:szCs w:val="21"/>
        </w:rPr>
        <w:t>评审的依据</w:t>
      </w:r>
      <w:bookmarkEnd w:id="1388"/>
      <w:bookmarkEnd w:id="1389"/>
      <w:bookmarkEnd w:id="1390"/>
      <w:bookmarkEnd w:id="1391"/>
    </w:p>
    <w:p>
      <w:pPr>
        <w:spacing w:line="360" w:lineRule="auto"/>
        <w:ind w:firstLine="472" w:firstLineChars="225"/>
        <w:rPr>
          <w:rFonts w:ascii="宋体" w:cs="Arial"/>
          <w:szCs w:val="21"/>
        </w:rPr>
      </w:pPr>
      <w:r>
        <w:rPr>
          <w:rFonts w:hint="eastAsia" w:ascii="宋体" w:hAnsi="宋体" w:cs="Arial"/>
          <w:szCs w:val="21"/>
        </w:rPr>
        <w:t>评标委员会判断投标人的投标报价是否低于其成本，所参考的评审依据包括</w:t>
      </w:r>
      <w:r>
        <w:rPr>
          <w:rFonts w:ascii="宋体" w:hAnsi="宋体" w:cs="Arial"/>
          <w:szCs w:val="21"/>
        </w:rPr>
        <w:t>:</w:t>
      </w:r>
    </w:p>
    <w:p>
      <w:pPr>
        <w:spacing w:line="360" w:lineRule="auto"/>
        <w:ind w:left="473"/>
        <w:rPr>
          <w:rFonts w:ascii="宋体" w:cs="Arial"/>
          <w:szCs w:val="21"/>
        </w:rPr>
      </w:pPr>
      <w:bookmarkStart w:id="1392" w:name="_Toc429569240"/>
      <w:bookmarkStart w:id="1393" w:name="_Toc479499834"/>
      <w:bookmarkStart w:id="1394" w:name="_Toc480140225"/>
      <w:bookmarkStart w:id="1395" w:name="_Toc480140468"/>
      <w:r>
        <w:rPr>
          <w:rFonts w:ascii="宋体" w:hAnsi="宋体" w:cs="Arial"/>
          <w:szCs w:val="21"/>
        </w:rPr>
        <w:t>(1)</w:t>
      </w:r>
      <w:r>
        <w:rPr>
          <w:rFonts w:hint="eastAsia" w:ascii="宋体" w:hAnsi="宋体" w:cs="Arial"/>
          <w:szCs w:val="21"/>
        </w:rPr>
        <w:t>招标文件；</w:t>
      </w:r>
    </w:p>
    <w:p>
      <w:pPr>
        <w:spacing w:line="360" w:lineRule="auto"/>
        <w:ind w:left="473"/>
        <w:rPr>
          <w:rFonts w:ascii="宋体" w:cs="Arial"/>
          <w:szCs w:val="21"/>
        </w:rPr>
      </w:pPr>
      <w:r>
        <w:rPr>
          <w:rFonts w:ascii="宋体" w:hAnsi="宋体" w:cs="Arial"/>
          <w:szCs w:val="21"/>
        </w:rPr>
        <w:t>(2)</w:t>
      </w:r>
      <w:r>
        <w:rPr>
          <w:rFonts w:hint="eastAsia" w:ascii="宋体" w:hAnsi="宋体" w:cs="Arial"/>
          <w:szCs w:val="21"/>
        </w:rPr>
        <w:t>标底或招标控制价（如果有）；</w:t>
      </w:r>
    </w:p>
    <w:p>
      <w:pPr>
        <w:spacing w:line="360" w:lineRule="auto"/>
        <w:ind w:left="473"/>
        <w:rPr>
          <w:rFonts w:ascii="宋体" w:cs="Arial"/>
          <w:szCs w:val="21"/>
        </w:rPr>
      </w:pPr>
      <w:r>
        <w:rPr>
          <w:rFonts w:ascii="宋体" w:hAnsi="宋体" w:cs="Arial"/>
          <w:szCs w:val="21"/>
        </w:rPr>
        <w:t>(3)</w:t>
      </w:r>
      <w:r>
        <w:rPr>
          <w:rFonts w:hint="eastAsia" w:ascii="宋体" w:hAnsi="宋体" w:cs="Arial"/>
          <w:szCs w:val="21"/>
        </w:rPr>
        <w:t>施工组织设计；</w:t>
      </w:r>
    </w:p>
    <w:p>
      <w:pPr>
        <w:spacing w:line="360" w:lineRule="auto"/>
        <w:ind w:left="473"/>
        <w:rPr>
          <w:rFonts w:ascii="宋体" w:cs="Arial"/>
          <w:szCs w:val="21"/>
        </w:rPr>
      </w:pPr>
      <w:r>
        <w:rPr>
          <w:rFonts w:ascii="宋体" w:hAnsi="宋体" w:cs="Arial"/>
          <w:szCs w:val="21"/>
        </w:rPr>
        <w:t>(4)</w:t>
      </w:r>
      <w:r>
        <w:rPr>
          <w:rFonts w:hint="eastAsia" w:ascii="宋体" w:hAnsi="宋体" w:cs="Arial"/>
          <w:szCs w:val="21"/>
        </w:rPr>
        <w:t>已标价的工程量清单；</w:t>
      </w:r>
    </w:p>
    <w:p>
      <w:pPr>
        <w:spacing w:line="360" w:lineRule="auto"/>
        <w:ind w:left="473"/>
        <w:rPr>
          <w:rFonts w:ascii="宋体" w:cs="Arial"/>
          <w:szCs w:val="21"/>
        </w:rPr>
      </w:pPr>
      <w:r>
        <w:rPr>
          <w:rFonts w:ascii="宋体" w:hAnsi="宋体" w:cs="Arial"/>
          <w:szCs w:val="21"/>
        </w:rPr>
        <w:t>(5)</w:t>
      </w:r>
      <w:r>
        <w:rPr>
          <w:rFonts w:hint="eastAsia" w:ascii="宋体" w:hAnsi="宋体" w:cs="Arial"/>
          <w:szCs w:val="21"/>
        </w:rPr>
        <w:t>工程所在地工程造价管理部门颁布的工程造价信息（如果有）；</w:t>
      </w:r>
    </w:p>
    <w:p>
      <w:pPr>
        <w:spacing w:line="360" w:lineRule="auto"/>
        <w:ind w:left="473"/>
        <w:rPr>
          <w:rFonts w:ascii="宋体" w:cs="Arial"/>
          <w:szCs w:val="21"/>
        </w:rPr>
      </w:pPr>
      <w:r>
        <w:rPr>
          <w:rFonts w:ascii="宋体" w:hAnsi="宋体" w:cs="Arial"/>
          <w:szCs w:val="21"/>
        </w:rPr>
        <w:t>(6)</w:t>
      </w:r>
      <w:r>
        <w:rPr>
          <w:rFonts w:hint="eastAsia" w:ascii="宋体" w:hAnsi="宋体" w:cs="Arial"/>
          <w:szCs w:val="21"/>
        </w:rPr>
        <w:t>工程所在地市场价格水平；</w:t>
      </w:r>
    </w:p>
    <w:p>
      <w:pPr>
        <w:spacing w:line="360" w:lineRule="auto"/>
        <w:ind w:left="473"/>
        <w:rPr>
          <w:rFonts w:ascii="宋体" w:cs="Arial"/>
          <w:szCs w:val="21"/>
        </w:rPr>
      </w:pPr>
      <w:r>
        <w:rPr>
          <w:rFonts w:ascii="宋体" w:hAnsi="宋体" w:cs="Arial"/>
          <w:szCs w:val="21"/>
        </w:rPr>
        <w:t>(7)</w:t>
      </w:r>
      <w:r>
        <w:rPr>
          <w:rFonts w:hint="eastAsia" w:ascii="宋体" w:hAnsi="宋体" w:cs="Arial"/>
          <w:szCs w:val="21"/>
        </w:rPr>
        <w:t>工程所在地工程造价管理部门颁布的定额或投标人企业定额；</w:t>
      </w:r>
    </w:p>
    <w:p>
      <w:pPr>
        <w:spacing w:line="360" w:lineRule="auto"/>
        <w:ind w:left="473"/>
        <w:rPr>
          <w:rFonts w:ascii="宋体" w:cs="Arial"/>
          <w:szCs w:val="21"/>
        </w:rPr>
      </w:pPr>
      <w:r>
        <w:rPr>
          <w:rFonts w:ascii="宋体" w:hAnsi="宋体" w:cs="Arial"/>
          <w:szCs w:val="21"/>
        </w:rPr>
        <w:t>(8)</w:t>
      </w:r>
      <w:r>
        <w:rPr>
          <w:rFonts w:hint="eastAsia" w:ascii="宋体" w:hAnsi="宋体" w:cs="Arial"/>
          <w:szCs w:val="21"/>
        </w:rPr>
        <w:t>经审计的企业近三年财务报表；</w:t>
      </w:r>
    </w:p>
    <w:p>
      <w:pPr>
        <w:spacing w:line="360" w:lineRule="auto"/>
        <w:ind w:left="473"/>
        <w:rPr>
          <w:rFonts w:ascii="宋体" w:cs="Arial"/>
          <w:szCs w:val="21"/>
        </w:rPr>
      </w:pPr>
      <w:r>
        <w:rPr>
          <w:rFonts w:ascii="宋体" w:hAnsi="宋体" w:cs="Arial"/>
          <w:szCs w:val="21"/>
        </w:rPr>
        <w:t>(9)</w:t>
      </w:r>
      <w:r>
        <w:rPr>
          <w:rFonts w:hint="eastAsia" w:ascii="宋体" w:hAnsi="宋体" w:cs="Arial"/>
          <w:szCs w:val="21"/>
        </w:rPr>
        <w:t>投标人所附其他证明资料；</w:t>
      </w:r>
    </w:p>
    <w:p>
      <w:pPr>
        <w:spacing w:line="360" w:lineRule="auto"/>
        <w:ind w:left="473"/>
        <w:rPr>
          <w:rFonts w:ascii="宋体" w:cs="Arial"/>
          <w:szCs w:val="21"/>
        </w:rPr>
      </w:pPr>
      <w:r>
        <w:rPr>
          <w:rFonts w:ascii="宋体" w:hAnsi="宋体" w:cs="Arial"/>
          <w:szCs w:val="21"/>
        </w:rPr>
        <w:t>(10)</w:t>
      </w:r>
      <w:r>
        <w:rPr>
          <w:rFonts w:hint="eastAsia" w:ascii="宋体" w:hAnsi="宋体" w:cs="Arial"/>
          <w:szCs w:val="21"/>
        </w:rPr>
        <w:t>法律法规允许的和招标文件规定的参考依据等。</w:t>
      </w:r>
    </w:p>
    <w:p>
      <w:pPr>
        <w:spacing w:line="360" w:lineRule="auto"/>
        <w:rPr>
          <w:rFonts w:ascii="宋体" w:cs="Arial"/>
          <w:szCs w:val="21"/>
        </w:rPr>
      </w:pPr>
      <w:r>
        <w:rPr>
          <w:rFonts w:ascii="宋体" w:hAnsi="宋体" w:cs="Arial"/>
          <w:szCs w:val="21"/>
        </w:rPr>
        <w:t>B3.</w:t>
      </w:r>
      <w:r>
        <w:rPr>
          <w:rFonts w:hint="eastAsia" w:ascii="宋体" w:hAnsi="宋体" w:cs="Arial"/>
          <w:szCs w:val="21"/>
        </w:rPr>
        <w:t>算术性错误分析和修正</w:t>
      </w:r>
      <w:bookmarkEnd w:id="1392"/>
      <w:bookmarkEnd w:id="1393"/>
      <w:bookmarkEnd w:id="1394"/>
      <w:bookmarkEnd w:id="1395"/>
    </w:p>
    <w:p>
      <w:pPr>
        <w:spacing w:line="360" w:lineRule="auto"/>
        <w:ind w:firstLine="472" w:firstLineChars="225"/>
        <w:rPr>
          <w:rFonts w:ascii="宋体" w:cs="Arial"/>
          <w:szCs w:val="21"/>
        </w:rPr>
      </w:pPr>
      <w:r>
        <w:rPr>
          <w:rFonts w:hint="eastAsia" w:ascii="宋体" w:hAnsi="宋体" w:cs="Arial"/>
          <w:szCs w:val="21"/>
        </w:rPr>
        <w:t>评标委员会对已标价工程量清单进行逐项分析，根据本章第</w:t>
      </w:r>
      <w:r>
        <w:rPr>
          <w:rFonts w:ascii="宋体" w:hAnsi="宋体" w:cs="Arial"/>
          <w:szCs w:val="21"/>
        </w:rPr>
        <w:t>3.3.6</w:t>
      </w:r>
      <w:r>
        <w:rPr>
          <w:rFonts w:hint="eastAsia" w:ascii="宋体" w:hAnsi="宋体" w:cs="Arial"/>
          <w:szCs w:val="21"/>
        </w:rPr>
        <w:t>项规定的原则，对投标报价中的算术性错误进行修正，按附表</w:t>
      </w:r>
      <w:r>
        <w:rPr>
          <w:rFonts w:ascii="宋体" w:hAnsi="宋体" w:cs="Arial"/>
          <w:szCs w:val="21"/>
        </w:rPr>
        <w:t>B-1</w:t>
      </w:r>
      <w:r>
        <w:rPr>
          <w:rFonts w:hint="eastAsia" w:ascii="宋体" w:hAnsi="宋体" w:cs="Arial"/>
          <w:szCs w:val="21"/>
        </w:rPr>
        <w:t>的格式记录分析和修正的结果。</w:t>
      </w:r>
    </w:p>
    <w:p>
      <w:pPr>
        <w:spacing w:line="360" w:lineRule="auto"/>
        <w:ind w:firstLine="472" w:firstLineChars="225"/>
        <w:rPr>
          <w:rFonts w:ascii="宋体" w:cs="Arial"/>
          <w:szCs w:val="21"/>
        </w:rPr>
      </w:pPr>
      <w:r>
        <w:rPr>
          <w:rFonts w:hint="eastAsia" w:ascii="宋体" w:hAnsi="宋体" w:cs="Arial"/>
          <w:szCs w:val="21"/>
        </w:rPr>
        <w:t>汇总修正结果，将经修正后产生的价格差额记为</w:t>
      </w:r>
      <w:r>
        <w:rPr>
          <w:rFonts w:ascii="宋体" w:hAnsi="宋体" w:cs="Arial"/>
          <w:szCs w:val="21"/>
        </w:rPr>
        <w:t>A</w:t>
      </w:r>
      <w:r>
        <w:rPr>
          <w:rFonts w:hint="eastAsia" w:ascii="宋体" w:hAnsi="宋体" w:cs="Arial"/>
          <w:szCs w:val="21"/>
        </w:rPr>
        <w:t>值（此值应为代数值，修正结果表明理论上应当增加投标人的投标报价（投标总价）的修正差额记为正值，反之记为负值，下同），同时整理需要投标人澄清和说明的事项。</w:t>
      </w:r>
    </w:p>
    <w:p>
      <w:pPr>
        <w:spacing w:line="360" w:lineRule="auto"/>
        <w:rPr>
          <w:rFonts w:ascii="宋体" w:cs="Arial"/>
          <w:szCs w:val="21"/>
        </w:rPr>
      </w:pPr>
      <w:bookmarkStart w:id="1396" w:name="_Toc480140469"/>
      <w:bookmarkStart w:id="1397" w:name="_Toc479499835"/>
      <w:bookmarkStart w:id="1398" w:name="_Toc480140226"/>
      <w:bookmarkStart w:id="1399" w:name="_Toc429569241"/>
      <w:r>
        <w:rPr>
          <w:rFonts w:ascii="宋体" w:hAnsi="宋体" w:cs="Arial"/>
          <w:szCs w:val="21"/>
        </w:rPr>
        <w:t>B4.</w:t>
      </w:r>
      <w:r>
        <w:rPr>
          <w:rFonts w:hint="eastAsia" w:ascii="宋体" w:hAnsi="宋体" w:cs="Arial"/>
          <w:szCs w:val="21"/>
        </w:rPr>
        <w:t>错漏项分析和修正</w:t>
      </w:r>
      <w:bookmarkEnd w:id="1396"/>
      <w:bookmarkEnd w:id="1397"/>
      <w:bookmarkEnd w:id="1398"/>
      <w:bookmarkEnd w:id="1399"/>
    </w:p>
    <w:p>
      <w:pPr>
        <w:spacing w:line="360" w:lineRule="auto"/>
        <w:rPr>
          <w:rFonts w:ascii="宋体" w:cs="Arial"/>
          <w:szCs w:val="21"/>
        </w:rPr>
      </w:pPr>
      <w:bookmarkStart w:id="1400" w:name="_Toc429569242"/>
      <w:bookmarkStart w:id="1401" w:name="_Toc479499836"/>
      <w:bookmarkStart w:id="1402" w:name="_Toc480140227"/>
      <w:bookmarkStart w:id="1403" w:name="_Toc480140470"/>
      <w:r>
        <w:rPr>
          <w:rFonts w:ascii="宋体" w:hAnsi="宋体" w:cs="Arial"/>
          <w:szCs w:val="21"/>
        </w:rPr>
        <w:t>B4.1</w:t>
      </w:r>
      <w:r>
        <w:rPr>
          <w:rFonts w:hint="eastAsia" w:ascii="宋体" w:hAnsi="宋体" w:cs="Arial"/>
          <w:szCs w:val="21"/>
        </w:rPr>
        <w:t>错漏项分析和修正的原则</w:t>
      </w:r>
      <w:bookmarkEnd w:id="1400"/>
      <w:bookmarkEnd w:id="1401"/>
      <w:bookmarkEnd w:id="1402"/>
      <w:bookmarkEnd w:id="1403"/>
    </w:p>
    <w:p>
      <w:pPr>
        <w:spacing w:line="360" w:lineRule="auto"/>
        <w:ind w:firstLine="472" w:firstLineChars="225"/>
        <w:rPr>
          <w:rFonts w:ascii="宋体" w:cs="Arial"/>
          <w:szCs w:val="21"/>
        </w:rPr>
      </w:pPr>
      <w:r>
        <w:rPr>
          <w:rFonts w:hint="eastAsia" w:ascii="宋体" w:hAnsi="宋体" w:cs="Arial"/>
          <w:szCs w:val="21"/>
        </w:rPr>
        <w:t>评标委员会分析已标价工程量清单，列出其中错报或漏报的子目，并按以下原则进行修正：</w:t>
      </w:r>
    </w:p>
    <w:p>
      <w:pPr>
        <w:spacing w:line="360" w:lineRule="auto"/>
        <w:ind w:firstLine="472" w:firstLineChars="225"/>
        <w:rPr>
          <w:rFonts w:ascii="宋体" w:cs="Arial"/>
          <w:szCs w:val="21"/>
        </w:rPr>
      </w:pPr>
      <w:r>
        <w:rPr>
          <w:rFonts w:hint="eastAsia" w:ascii="宋体" w:hAnsi="宋体" w:cs="Arial"/>
          <w:szCs w:val="21"/>
        </w:rPr>
        <w:t>如果评标委员会认为投标人递交的投标文件中有相同的并且投标人已经给出合适报价的子目，则按该相同子目的价格对错漏项报价进行修正；</w:t>
      </w:r>
    </w:p>
    <w:p>
      <w:pPr>
        <w:spacing w:line="360" w:lineRule="auto"/>
        <w:ind w:firstLine="472" w:firstLineChars="225"/>
        <w:rPr>
          <w:rFonts w:ascii="宋体" w:cs="Arial"/>
          <w:szCs w:val="21"/>
        </w:rPr>
      </w:pPr>
      <w:r>
        <w:rPr>
          <w:rFonts w:hint="eastAsia" w:ascii="宋体" w:hAnsi="宋体" w:cs="Arial"/>
          <w:szCs w:val="21"/>
        </w:rPr>
        <w:t>如果评标委员会认为投标人递交的投标文件中有相似的并且投标人已经给出合适报价的子目，则按该相似子目的报价为基础，考虑该相似子目与错漏项之间的差异而进行适当调整后的价格对错漏项报价进行修正；</w:t>
      </w:r>
    </w:p>
    <w:p>
      <w:pPr>
        <w:spacing w:line="360" w:lineRule="auto"/>
        <w:ind w:firstLine="472" w:firstLineChars="225"/>
        <w:rPr>
          <w:rFonts w:ascii="宋体" w:cs="Arial"/>
          <w:szCs w:val="21"/>
        </w:rPr>
      </w:pPr>
      <w:r>
        <w:rPr>
          <w:rFonts w:hint="eastAsia" w:ascii="宋体" w:hAnsi="宋体" w:cs="Arial"/>
          <w:szCs w:val="21"/>
        </w:rPr>
        <w:t>如果做不到以上两点，则按标底或招标控制价（如果有）中的相应价格为基础对错漏项报价进行修正；</w:t>
      </w:r>
    </w:p>
    <w:p>
      <w:pPr>
        <w:spacing w:line="360" w:lineRule="auto"/>
        <w:ind w:firstLine="472" w:firstLineChars="225"/>
        <w:rPr>
          <w:rFonts w:ascii="宋体" w:cs="Arial"/>
          <w:szCs w:val="21"/>
        </w:rPr>
      </w:pPr>
      <w:r>
        <w:rPr>
          <w:rFonts w:hint="eastAsia" w:ascii="宋体" w:hAnsi="宋体" w:cs="Arial"/>
          <w:szCs w:val="21"/>
        </w:rPr>
        <w:t>如果没有标底（或招标控制价）或者标底（或招标控制价）中也没有相同或相似价格作为参考，评标委员会可以要求投标人在澄清和说明时给出相应的修正价格。此时评标委员会应对此类价格的合理性进行分析，评标委员会可以在分析的基础上要求投标人进一步澄清和说明，评标委员会也可以按不利于该投标人的原则，以其他有效投标报价中该项最高报价作为修正价格；</w:t>
      </w:r>
    </w:p>
    <w:p>
      <w:pPr>
        <w:spacing w:line="360" w:lineRule="auto"/>
        <w:ind w:firstLine="472" w:firstLineChars="225"/>
        <w:rPr>
          <w:rFonts w:ascii="宋体" w:cs="Arial"/>
          <w:szCs w:val="21"/>
        </w:rPr>
      </w:pPr>
      <w:r>
        <w:rPr>
          <w:rFonts w:hint="eastAsia" w:ascii="宋体" w:hAnsi="宋体" w:cs="Arial"/>
          <w:szCs w:val="21"/>
        </w:rPr>
        <w:t>对超出招标范围报价的子目，则直接删除该子目的价格。</w:t>
      </w:r>
    </w:p>
    <w:p>
      <w:pPr>
        <w:spacing w:line="360" w:lineRule="auto"/>
        <w:rPr>
          <w:rFonts w:ascii="宋体" w:cs="Arial"/>
          <w:szCs w:val="21"/>
        </w:rPr>
      </w:pPr>
      <w:bookmarkStart w:id="1404" w:name="_Toc429569243"/>
      <w:bookmarkStart w:id="1405" w:name="_Toc479499837"/>
      <w:bookmarkStart w:id="1406" w:name="_Toc480140228"/>
      <w:bookmarkStart w:id="1407" w:name="_Toc480140471"/>
      <w:r>
        <w:rPr>
          <w:rFonts w:ascii="宋体" w:hAnsi="宋体" w:cs="Arial"/>
          <w:szCs w:val="21"/>
        </w:rPr>
        <w:t>B4.2</w:t>
      </w:r>
      <w:r>
        <w:rPr>
          <w:rFonts w:hint="eastAsia" w:ascii="宋体" w:hAnsi="宋体" w:cs="Arial"/>
          <w:szCs w:val="21"/>
        </w:rPr>
        <w:t>错漏项分析和修正的方法</w:t>
      </w:r>
      <w:bookmarkEnd w:id="1404"/>
      <w:bookmarkEnd w:id="1405"/>
      <w:bookmarkEnd w:id="1406"/>
      <w:bookmarkEnd w:id="1407"/>
    </w:p>
    <w:p>
      <w:pPr>
        <w:spacing w:line="360" w:lineRule="auto"/>
        <w:ind w:firstLine="472" w:firstLineChars="225"/>
        <w:rPr>
          <w:rFonts w:ascii="宋体" w:cs="Arial"/>
          <w:szCs w:val="21"/>
        </w:rPr>
      </w:pPr>
      <w:r>
        <w:rPr>
          <w:rFonts w:hint="eastAsia" w:ascii="宋体" w:hAnsi="宋体" w:cs="Arial"/>
          <w:szCs w:val="21"/>
        </w:rPr>
        <w:t>错漏项分析和修正的方法如下：</w:t>
      </w:r>
    </w:p>
    <w:p>
      <w:pPr>
        <w:spacing w:line="360" w:lineRule="auto"/>
        <w:ind w:firstLine="472" w:firstLineChars="225"/>
        <w:rPr>
          <w:rFonts w:ascii="宋体" w:cs="Arial"/>
          <w:szCs w:val="21"/>
        </w:rPr>
      </w:pPr>
      <w:r>
        <w:rPr>
          <w:rFonts w:hint="eastAsia" w:ascii="宋体" w:hAnsi="宋体" w:cs="Arial"/>
          <w:szCs w:val="21"/>
        </w:rPr>
        <w:t>根据上述原则，修正错报和补充漏报子目的价格；</w:t>
      </w:r>
    </w:p>
    <w:p>
      <w:pPr>
        <w:spacing w:line="360" w:lineRule="auto"/>
        <w:ind w:firstLine="472" w:firstLineChars="225"/>
        <w:rPr>
          <w:rFonts w:ascii="宋体" w:cs="Arial"/>
          <w:szCs w:val="21"/>
        </w:rPr>
      </w:pPr>
      <w:r>
        <w:rPr>
          <w:rFonts w:hint="eastAsia" w:ascii="宋体" w:hAnsi="宋体" w:cs="Arial"/>
          <w:szCs w:val="21"/>
        </w:rPr>
        <w:t>填写附表</w:t>
      </w:r>
      <w:r>
        <w:rPr>
          <w:rFonts w:ascii="宋体" w:hAnsi="宋体" w:cs="Arial"/>
          <w:szCs w:val="21"/>
        </w:rPr>
        <w:t>B-2</w:t>
      </w:r>
      <w:r>
        <w:rPr>
          <w:rFonts w:hint="eastAsia" w:ascii="宋体" w:hAnsi="宋体" w:cs="Arial"/>
          <w:szCs w:val="21"/>
        </w:rPr>
        <w:t>，计算经修正或补充后产生的价格差额。汇总上述结果，将经修正后产生的价格差额记为</w:t>
      </w:r>
      <w:r>
        <w:rPr>
          <w:rFonts w:ascii="宋体" w:hAnsi="宋体" w:cs="Arial"/>
          <w:szCs w:val="21"/>
        </w:rPr>
        <w:t>B</w:t>
      </w:r>
      <w:r>
        <w:rPr>
          <w:rFonts w:hint="eastAsia" w:ascii="宋体" w:hAnsi="宋体" w:cs="Arial"/>
          <w:szCs w:val="21"/>
        </w:rPr>
        <w:t>值，并明确需要投标人澄清和说明的事项。</w:t>
      </w:r>
    </w:p>
    <w:p>
      <w:pPr>
        <w:spacing w:line="360" w:lineRule="auto"/>
        <w:rPr>
          <w:rFonts w:ascii="宋体" w:cs="Arial"/>
          <w:szCs w:val="21"/>
        </w:rPr>
      </w:pPr>
      <w:bookmarkStart w:id="1408" w:name="_Toc429569244"/>
      <w:bookmarkStart w:id="1409" w:name="_Toc479499838"/>
      <w:bookmarkStart w:id="1410" w:name="_Toc480140229"/>
      <w:bookmarkStart w:id="1411" w:name="_Toc480140472"/>
      <w:r>
        <w:rPr>
          <w:rFonts w:ascii="宋体" w:hAnsi="宋体" w:cs="Arial"/>
          <w:szCs w:val="21"/>
        </w:rPr>
        <w:t>B5.</w:t>
      </w:r>
      <w:r>
        <w:rPr>
          <w:rFonts w:hint="eastAsia" w:ascii="宋体" w:hAnsi="宋体" w:cs="Arial"/>
          <w:szCs w:val="21"/>
        </w:rPr>
        <w:t>分部分项工程和单价措施项目清单部分价格合理性分析和修正</w:t>
      </w:r>
      <w:bookmarkEnd w:id="1408"/>
      <w:bookmarkEnd w:id="1409"/>
      <w:bookmarkEnd w:id="1410"/>
      <w:bookmarkEnd w:id="1411"/>
    </w:p>
    <w:p>
      <w:pPr>
        <w:spacing w:line="360" w:lineRule="auto"/>
        <w:rPr>
          <w:rFonts w:ascii="宋体" w:cs="Arial"/>
          <w:szCs w:val="21"/>
        </w:rPr>
      </w:pPr>
      <w:bookmarkStart w:id="1412" w:name="_Toc429569245"/>
      <w:bookmarkStart w:id="1413" w:name="_Toc479499839"/>
      <w:bookmarkStart w:id="1414" w:name="_Toc480140230"/>
      <w:bookmarkStart w:id="1415" w:name="_Toc480140473"/>
      <w:r>
        <w:rPr>
          <w:rFonts w:ascii="宋体" w:hAnsi="宋体" w:cs="Arial"/>
          <w:szCs w:val="21"/>
        </w:rPr>
        <w:t>B5.1</w:t>
      </w:r>
      <w:r>
        <w:rPr>
          <w:rFonts w:hint="eastAsia" w:ascii="宋体" w:hAnsi="宋体" w:cs="Arial"/>
          <w:szCs w:val="21"/>
        </w:rPr>
        <w:t>分部分项工程和单价措施项目清单部分价格分析和修正的原则</w:t>
      </w:r>
      <w:bookmarkEnd w:id="1412"/>
      <w:bookmarkEnd w:id="1413"/>
      <w:bookmarkEnd w:id="1414"/>
      <w:bookmarkEnd w:id="1415"/>
    </w:p>
    <w:p>
      <w:pPr>
        <w:spacing w:line="360" w:lineRule="auto"/>
        <w:ind w:firstLine="472" w:firstLineChars="225"/>
        <w:rPr>
          <w:rFonts w:ascii="宋体" w:cs="Arial"/>
          <w:szCs w:val="21"/>
        </w:rPr>
      </w:pPr>
      <w:r>
        <w:rPr>
          <w:rFonts w:hint="eastAsia" w:ascii="宋体" w:hAnsi="宋体" w:cs="Arial"/>
          <w:szCs w:val="21"/>
        </w:rPr>
        <w:t>分部分项工程和单价措施项目清单部分价格分析和修正的原则如下：</w:t>
      </w:r>
    </w:p>
    <w:p>
      <w:pPr>
        <w:spacing w:line="360" w:lineRule="auto"/>
        <w:ind w:firstLine="472" w:firstLineChars="225"/>
        <w:rPr>
          <w:rFonts w:ascii="宋体" w:cs="Arial"/>
          <w:szCs w:val="21"/>
        </w:rPr>
      </w:pPr>
      <w:r>
        <w:rPr>
          <w:rFonts w:hint="eastAsia" w:ascii="宋体" w:hAnsi="宋体" w:cs="Arial"/>
          <w:szCs w:val="21"/>
        </w:rPr>
        <w:t>如果评标委员会认为投标人递交的投标文件中有相同的并且投标人已经给出合适报价的子目，则按该相同子目的价格对评标委员会认为不合理报价子目的报价进行修正；</w:t>
      </w:r>
    </w:p>
    <w:p>
      <w:pPr>
        <w:spacing w:line="360" w:lineRule="auto"/>
        <w:ind w:firstLine="472" w:firstLineChars="225"/>
        <w:rPr>
          <w:rFonts w:ascii="宋体" w:cs="Arial"/>
          <w:szCs w:val="21"/>
        </w:rPr>
      </w:pPr>
      <w:r>
        <w:rPr>
          <w:rFonts w:hint="eastAsia" w:ascii="宋体" w:hAnsi="宋体" w:cs="Arial"/>
          <w:szCs w:val="21"/>
        </w:rPr>
        <w:t>如果评标委员会认为投标人递交的投标文件中有相似的并且投标人已经给出合适报价的子目，则按该相似子目的报价为基础，考虑该相似子目与不合理子目之间的差异而进行适当调整后的价格对评标委员会认为不合理报价子目的报价进行修正；</w:t>
      </w:r>
    </w:p>
    <w:p>
      <w:pPr>
        <w:spacing w:line="360" w:lineRule="auto"/>
        <w:ind w:firstLine="472" w:firstLineChars="225"/>
        <w:rPr>
          <w:rFonts w:ascii="宋体" w:cs="Arial"/>
          <w:szCs w:val="21"/>
        </w:rPr>
      </w:pPr>
      <w:r>
        <w:rPr>
          <w:rFonts w:hint="eastAsia" w:ascii="宋体" w:hAnsi="宋体" w:cs="Arial"/>
          <w:szCs w:val="21"/>
        </w:rPr>
        <w:t>如果做不到以上两点，则按标底或招标控制价（如果有）中的相应价格为基础对评标委员会认为不合理报价子目的报价进行修正；</w:t>
      </w:r>
    </w:p>
    <w:p>
      <w:pPr>
        <w:spacing w:line="360" w:lineRule="auto"/>
        <w:ind w:firstLine="472" w:firstLineChars="225"/>
        <w:rPr>
          <w:rFonts w:ascii="宋体" w:cs="Arial"/>
          <w:szCs w:val="21"/>
        </w:rPr>
      </w:pPr>
      <w:r>
        <w:rPr>
          <w:rFonts w:hint="eastAsia" w:ascii="宋体" w:hAnsi="宋体" w:cs="Arial"/>
          <w:szCs w:val="21"/>
        </w:rPr>
        <w:t>如果没有标底（或招标控制价）或者标底（或招标控制价）中也没有相同或相似价格作为参考，评标委员会可以要求投标人在澄清和说明时给出相应的修正价格。此时评标委员会应对此类价格的合理性进行分析，并在分析的基础上要求投标人进一步澄清和说明（如果评标委员会认为需要）。</w:t>
      </w:r>
    </w:p>
    <w:p>
      <w:pPr>
        <w:spacing w:line="360" w:lineRule="auto"/>
        <w:rPr>
          <w:rFonts w:ascii="宋体" w:cs="Arial"/>
          <w:szCs w:val="21"/>
        </w:rPr>
      </w:pPr>
      <w:bookmarkStart w:id="1416" w:name="_Toc429569246"/>
      <w:bookmarkStart w:id="1417" w:name="_Toc479499840"/>
      <w:bookmarkStart w:id="1418" w:name="_Toc480140231"/>
      <w:bookmarkStart w:id="1419" w:name="_Toc480140474"/>
      <w:r>
        <w:rPr>
          <w:rFonts w:ascii="宋体" w:hAnsi="宋体" w:cs="Arial"/>
          <w:szCs w:val="21"/>
        </w:rPr>
        <w:t>B5.2</w:t>
      </w:r>
      <w:r>
        <w:rPr>
          <w:rFonts w:hint="eastAsia" w:ascii="宋体" w:hAnsi="宋体" w:cs="Arial"/>
          <w:szCs w:val="21"/>
        </w:rPr>
        <w:t>分部分项工程和单价措施项目清单部分价格分析和修正的方法</w:t>
      </w:r>
      <w:bookmarkEnd w:id="1416"/>
      <w:bookmarkEnd w:id="1417"/>
      <w:bookmarkEnd w:id="1418"/>
      <w:bookmarkEnd w:id="1419"/>
    </w:p>
    <w:p>
      <w:pPr>
        <w:spacing w:line="360" w:lineRule="auto"/>
        <w:ind w:firstLine="472" w:firstLineChars="225"/>
        <w:rPr>
          <w:rFonts w:ascii="宋体" w:cs="Arial"/>
          <w:szCs w:val="21"/>
        </w:rPr>
      </w:pPr>
      <w:r>
        <w:rPr>
          <w:rFonts w:hint="eastAsia" w:ascii="宋体" w:hAnsi="宋体" w:cs="Arial"/>
          <w:szCs w:val="21"/>
        </w:rPr>
        <w:t>分部分项工程和单价措施项目清单部分价格分析和修正的方法如下：</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B-3</w:t>
      </w:r>
      <w:r>
        <w:rPr>
          <w:rFonts w:hint="eastAsia" w:ascii="宋体" w:hAnsi="宋体" w:cs="Arial"/>
          <w:szCs w:val="21"/>
        </w:rPr>
        <w:t>的格式对与市场价格水平存在明显差异的子目进行逐项分析、修正；</w:t>
      </w:r>
    </w:p>
    <w:p>
      <w:pPr>
        <w:spacing w:line="360" w:lineRule="auto"/>
        <w:ind w:firstLine="472" w:firstLineChars="225"/>
        <w:rPr>
          <w:rFonts w:ascii="宋体" w:cs="Arial"/>
          <w:szCs w:val="21"/>
        </w:rPr>
      </w:pPr>
      <w:r>
        <w:rPr>
          <w:rFonts w:hint="eastAsia" w:ascii="宋体" w:hAnsi="宋体" w:cs="Arial"/>
          <w:szCs w:val="21"/>
        </w:rPr>
        <w:t>计算修正后的差额，汇总分析结果，将经修正后产生的价格差额记为</w:t>
      </w:r>
      <w:r>
        <w:rPr>
          <w:rFonts w:ascii="宋体" w:hAnsi="宋体" w:cs="Arial"/>
          <w:szCs w:val="21"/>
        </w:rPr>
        <w:t>C</w:t>
      </w:r>
      <w:r>
        <w:rPr>
          <w:rFonts w:hint="eastAsia" w:ascii="宋体" w:hAnsi="宋体" w:cs="Arial"/>
          <w:szCs w:val="21"/>
        </w:rPr>
        <w:t>值，同时整理需要投标人澄清和说明的事项。</w:t>
      </w:r>
    </w:p>
    <w:p>
      <w:pPr>
        <w:spacing w:line="360" w:lineRule="auto"/>
        <w:rPr>
          <w:rFonts w:ascii="宋体" w:cs="Arial"/>
          <w:szCs w:val="21"/>
        </w:rPr>
      </w:pPr>
      <w:bookmarkStart w:id="1420" w:name="_Toc429569247"/>
      <w:bookmarkStart w:id="1421" w:name="_Toc479499841"/>
      <w:bookmarkStart w:id="1422" w:name="_Toc480140232"/>
      <w:bookmarkStart w:id="1423" w:name="_Toc480140475"/>
      <w:r>
        <w:rPr>
          <w:rFonts w:ascii="宋体" w:hAnsi="宋体" w:cs="Arial"/>
          <w:szCs w:val="21"/>
        </w:rPr>
        <w:t>B6.</w:t>
      </w:r>
      <w:r>
        <w:rPr>
          <w:rFonts w:hint="eastAsia" w:ascii="宋体" w:hAnsi="宋体" w:cs="Arial"/>
          <w:szCs w:val="21"/>
        </w:rPr>
        <w:t>总价措施项目清单和其他项目清单部分价格合理性分析和修正</w:t>
      </w:r>
      <w:bookmarkEnd w:id="1420"/>
      <w:bookmarkEnd w:id="1421"/>
      <w:bookmarkEnd w:id="1422"/>
      <w:bookmarkEnd w:id="1423"/>
    </w:p>
    <w:p>
      <w:pPr>
        <w:spacing w:line="360" w:lineRule="auto"/>
        <w:rPr>
          <w:rFonts w:ascii="宋体" w:cs="Arial"/>
          <w:szCs w:val="21"/>
        </w:rPr>
      </w:pPr>
      <w:bookmarkStart w:id="1424" w:name="_Toc429569248"/>
      <w:bookmarkStart w:id="1425" w:name="_Toc479499842"/>
      <w:bookmarkStart w:id="1426" w:name="_Toc480140233"/>
      <w:bookmarkStart w:id="1427" w:name="_Toc480140476"/>
      <w:r>
        <w:rPr>
          <w:rFonts w:ascii="宋体" w:hAnsi="宋体" w:cs="Arial"/>
          <w:szCs w:val="21"/>
        </w:rPr>
        <w:t>B6.1</w:t>
      </w:r>
      <w:r>
        <w:rPr>
          <w:rFonts w:hint="eastAsia" w:ascii="宋体" w:hAnsi="宋体" w:cs="Arial"/>
          <w:szCs w:val="21"/>
        </w:rPr>
        <w:t>总价措施项目清单和其他项目清单部分分析和修正的原则</w:t>
      </w:r>
      <w:bookmarkEnd w:id="1424"/>
      <w:bookmarkEnd w:id="1425"/>
      <w:bookmarkEnd w:id="1426"/>
      <w:bookmarkEnd w:id="1427"/>
    </w:p>
    <w:p>
      <w:pPr>
        <w:spacing w:line="360" w:lineRule="auto"/>
        <w:ind w:firstLine="472" w:firstLineChars="225"/>
        <w:rPr>
          <w:rFonts w:ascii="宋体" w:cs="Arial"/>
          <w:szCs w:val="21"/>
        </w:rPr>
      </w:pPr>
      <w:r>
        <w:rPr>
          <w:rFonts w:hint="eastAsia" w:ascii="宋体" w:hAnsi="宋体" w:cs="Arial"/>
          <w:szCs w:val="21"/>
        </w:rPr>
        <w:t>总价措施项目清单和其他项目清单部分分析和修正的原则如下：</w:t>
      </w:r>
    </w:p>
    <w:p>
      <w:pPr>
        <w:spacing w:line="360" w:lineRule="auto"/>
        <w:ind w:firstLine="472" w:firstLineChars="225"/>
        <w:rPr>
          <w:rFonts w:ascii="宋体" w:cs="Arial"/>
          <w:szCs w:val="21"/>
        </w:rPr>
      </w:pPr>
      <w:r>
        <w:rPr>
          <w:rFonts w:hint="eastAsia" w:ascii="宋体" w:hAnsi="宋体" w:cs="Arial"/>
          <w:szCs w:val="21"/>
        </w:rPr>
        <w:t>总价措施项目清单报价中的资源投入数量不正确或不合理的，按照投标人递交的施工组织设计中明确的或者可以通过施工组织设计中给出的相关数据计算出来的计划投入的资源数量（如临时设施、拟派现场管理人员流量计划、施工机械设备投入计划等）修正总价措施项目清单报价中不合理的资源投入数量；</w:t>
      </w:r>
    </w:p>
    <w:p>
      <w:pPr>
        <w:spacing w:line="360" w:lineRule="auto"/>
        <w:ind w:firstLine="472" w:firstLineChars="225"/>
        <w:rPr>
          <w:rFonts w:ascii="宋体" w:cs="Arial"/>
          <w:szCs w:val="21"/>
        </w:rPr>
      </w:pPr>
      <w:r>
        <w:rPr>
          <w:rFonts w:hint="eastAsia" w:ascii="宋体" w:hAnsi="宋体" w:cs="Arial"/>
          <w:szCs w:val="21"/>
        </w:rPr>
        <w:t>总价措施项目清单报价中的资源和生产要素价格不合理的，如果评标委员会认为投标人递交的投标文件中有相似的并且投标人已经给出合适报价的项目，则按该相似项目的报价为基础，考虑该相似项目与不合理报价项目之间的差异而进行适当调整后的价格对不合理报价项目的资源或生产要素的价格进行修正；</w:t>
      </w:r>
    </w:p>
    <w:p>
      <w:pPr>
        <w:spacing w:line="360" w:lineRule="auto"/>
        <w:ind w:firstLine="472" w:firstLineChars="225"/>
        <w:rPr>
          <w:rFonts w:ascii="宋体" w:cs="Arial"/>
          <w:szCs w:val="21"/>
        </w:rPr>
      </w:pPr>
      <w:r>
        <w:rPr>
          <w:rFonts w:hint="eastAsia" w:ascii="宋体" w:hAnsi="宋体" w:cs="Arial"/>
          <w:szCs w:val="21"/>
        </w:rPr>
        <w:t>其他情况下，按标底或招标控制价（如果有）中的相应价格为基础对总价措施项目和其他项目清单中的不合理报价进行修正；</w:t>
      </w:r>
    </w:p>
    <w:p>
      <w:pPr>
        <w:spacing w:line="360" w:lineRule="auto"/>
        <w:ind w:firstLine="472" w:firstLineChars="225"/>
        <w:rPr>
          <w:rFonts w:ascii="宋体" w:cs="Arial"/>
          <w:szCs w:val="21"/>
        </w:rPr>
      </w:pPr>
      <w:r>
        <w:rPr>
          <w:rFonts w:hint="eastAsia" w:ascii="宋体" w:hAnsi="宋体" w:cs="Arial"/>
          <w:szCs w:val="21"/>
        </w:rPr>
        <w:t>如果没有标底（或招标控制价）或者标底（或招标控制价）中也没有相同或相似价格作为参考，评标委员会可以要求投标人在澄清和说明时给出相应的修正价格。此时评标委员会应对此类价格的合理性进行分析，并在分析的基础上要求投标人进一步澄清和说明（如果评标委员会认为需要）；</w:t>
      </w:r>
    </w:p>
    <w:p>
      <w:pPr>
        <w:spacing w:line="360" w:lineRule="auto"/>
        <w:ind w:firstLine="472" w:firstLineChars="225"/>
        <w:rPr>
          <w:rFonts w:ascii="宋体" w:cs="Arial"/>
          <w:szCs w:val="21"/>
        </w:rPr>
      </w:pPr>
      <w:r>
        <w:rPr>
          <w:rFonts w:hint="eastAsia" w:ascii="宋体" w:hAnsi="宋体" w:cs="Arial"/>
          <w:szCs w:val="21"/>
        </w:rPr>
        <w:t>对于按照招标文件不应当报价的项目，则直接删除该项目的价格。</w:t>
      </w:r>
    </w:p>
    <w:p>
      <w:pPr>
        <w:spacing w:line="360" w:lineRule="auto"/>
        <w:rPr>
          <w:rFonts w:ascii="宋体" w:cs="Arial"/>
          <w:szCs w:val="21"/>
        </w:rPr>
      </w:pPr>
      <w:bookmarkStart w:id="1428" w:name="_Toc429569249"/>
      <w:bookmarkStart w:id="1429" w:name="_Toc479499843"/>
      <w:bookmarkStart w:id="1430" w:name="_Toc480140234"/>
      <w:bookmarkStart w:id="1431" w:name="_Toc480140477"/>
      <w:r>
        <w:rPr>
          <w:rFonts w:ascii="宋体" w:hAnsi="宋体" w:cs="Arial"/>
          <w:szCs w:val="21"/>
        </w:rPr>
        <w:t>B6.2</w:t>
      </w:r>
      <w:r>
        <w:rPr>
          <w:rFonts w:hint="eastAsia" w:ascii="宋体" w:hAnsi="宋体" w:cs="Arial"/>
          <w:szCs w:val="21"/>
        </w:rPr>
        <w:t>总价措施项目清单和其他项目清单部分分析和修正</w:t>
      </w:r>
      <w:bookmarkEnd w:id="1428"/>
      <w:bookmarkEnd w:id="1429"/>
      <w:bookmarkEnd w:id="1430"/>
      <w:bookmarkEnd w:id="1431"/>
    </w:p>
    <w:p>
      <w:pPr>
        <w:spacing w:line="360" w:lineRule="auto"/>
        <w:ind w:firstLine="472" w:firstLineChars="225"/>
        <w:rPr>
          <w:rFonts w:ascii="宋体" w:cs="Arial"/>
          <w:szCs w:val="21"/>
        </w:rPr>
      </w:pPr>
      <w:r>
        <w:rPr>
          <w:rFonts w:hint="eastAsia" w:ascii="宋体" w:hAnsi="宋体" w:cs="Arial"/>
          <w:szCs w:val="21"/>
        </w:rPr>
        <w:t>总价措施项目清单和其他项目清单部分分析和修正的方法如下：</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B-4</w:t>
      </w:r>
      <w:r>
        <w:rPr>
          <w:rFonts w:hint="eastAsia" w:ascii="宋体" w:hAnsi="宋体" w:cs="Arial"/>
          <w:szCs w:val="21"/>
        </w:rPr>
        <w:t>格式对总价措施项目清单和其他项目清单进行逐项分析、修正；</w:t>
      </w:r>
    </w:p>
    <w:p>
      <w:pPr>
        <w:spacing w:line="360" w:lineRule="auto"/>
        <w:ind w:firstLine="472" w:firstLineChars="225"/>
        <w:rPr>
          <w:rFonts w:ascii="宋体" w:cs="Arial"/>
          <w:szCs w:val="21"/>
        </w:rPr>
      </w:pPr>
      <w:r>
        <w:rPr>
          <w:rFonts w:hint="eastAsia" w:ascii="宋体" w:hAnsi="宋体" w:cs="Arial"/>
          <w:szCs w:val="21"/>
        </w:rPr>
        <w:t>计算修正后的差额，汇总分析结果，将经修正后产生的价格差额记为</w:t>
      </w:r>
      <w:r>
        <w:rPr>
          <w:rFonts w:ascii="宋体" w:hAnsi="宋体" w:cs="Arial"/>
          <w:szCs w:val="21"/>
        </w:rPr>
        <w:t>D</w:t>
      </w:r>
      <w:r>
        <w:rPr>
          <w:rFonts w:hint="eastAsia" w:ascii="宋体" w:hAnsi="宋体" w:cs="Arial"/>
          <w:szCs w:val="21"/>
        </w:rPr>
        <w:t>值，同时整理需要投标人澄清和说明的事项。</w:t>
      </w:r>
    </w:p>
    <w:p>
      <w:pPr>
        <w:spacing w:line="360" w:lineRule="auto"/>
        <w:rPr>
          <w:rFonts w:ascii="宋体" w:cs="Arial"/>
          <w:szCs w:val="21"/>
        </w:rPr>
      </w:pPr>
      <w:bookmarkStart w:id="1432" w:name="_Toc429569250"/>
      <w:bookmarkStart w:id="1433" w:name="_Toc479499844"/>
      <w:bookmarkStart w:id="1434" w:name="_Toc480140235"/>
      <w:bookmarkStart w:id="1435" w:name="_Toc480140478"/>
      <w:r>
        <w:rPr>
          <w:rFonts w:ascii="宋体" w:hAnsi="宋体" w:cs="Arial"/>
          <w:szCs w:val="21"/>
        </w:rPr>
        <w:t>B7.</w:t>
      </w:r>
      <w:r>
        <w:rPr>
          <w:rFonts w:hint="eastAsia" w:ascii="宋体" w:hAnsi="宋体" w:cs="Arial"/>
          <w:szCs w:val="21"/>
        </w:rPr>
        <w:t>企业管理费合理性分析和修正</w:t>
      </w:r>
      <w:bookmarkEnd w:id="1432"/>
      <w:bookmarkEnd w:id="1433"/>
      <w:bookmarkEnd w:id="1434"/>
      <w:bookmarkEnd w:id="1435"/>
    </w:p>
    <w:p>
      <w:pPr>
        <w:spacing w:line="360" w:lineRule="auto"/>
        <w:rPr>
          <w:rFonts w:ascii="宋体" w:cs="Arial"/>
          <w:szCs w:val="21"/>
        </w:rPr>
      </w:pPr>
      <w:bookmarkStart w:id="1436" w:name="_Toc429569251"/>
      <w:bookmarkStart w:id="1437" w:name="_Toc479499845"/>
      <w:bookmarkStart w:id="1438" w:name="_Toc480140236"/>
      <w:bookmarkStart w:id="1439" w:name="_Toc480140479"/>
      <w:r>
        <w:rPr>
          <w:rFonts w:ascii="宋体" w:hAnsi="宋体" w:cs="Arial"/>
          <w:szCs w:val="21"/>
        </w:rPr>
        <w:t>B7.1</w:t>
      </w:r>
      <w:r>
        <w:rPr>
          <w:rFonts w:hint="eastAsia" w:ascii="宋体" w:hAnsi="宋体" w:cs="Arial"/>
          <w:szCs w:val="21"/>
        </w:rPr>
        <w:t>企业管理费分析和修正的原则</w:t>
      </w:r>
      <w:bookmarkEnd w:id="1436"/>
      <w:bookmarkEnd w:id="1437"/>
      <w:bookmarkEnd w:id="1438"/>
      <w:bookmarkEnd w:id="1439"/>
    </w:p>
    <w:p>
      <w:pPr>
        <w:spacing w:line="360" w:lineRule="auto"/>
        <w:ind w:firstLine="472" w:firstLineChars="225"/>
        <w:rPr>
          <w:rFonts w:ascii="宋体" w:cs="Arial"/>
          <w:szCs w:val="21"/>
        </w:rPr>
      </w:pPr>
      <w:r>
        <w:rPr>
          <w:rFonts w:hint="eastAsia" w:ascii="宋体" w:hAnsi="宋体" w:cs="Arial"/>
          <w:szCs w:val="21"/>
        </w:rPr>
        <w:t>企业管理费分析和修正的原则如下：</w:t>
      </w:r>
    </w:p>
    <w:p>
      <w:pPr>
        <w:spacing w:line="360" w:lineRule="auto"/>
        <w:ind w:firstLine="472" w:firstLineChars="225"/>
        <w:rPr>
          <w:rFonts w:ascii="宋体" w:cs="Arial"/>
          <w:szCs w:val="21"/>
        </w:rPr>
      </w:pPr>
      <w:r>
        <w:rPr>
          <w:rFonts w:hint="eastAsia" w:ascii="宋体" w:hAnsi="宋体" w:cs="Arial"/>
          <w:szCs w:val="21"/>
        </w:rPr>
        <w:t>按投标人经审计的企业近三年财务报表中的相关数据计算出投标人企业实际的管理费率（近三年企业管理费总额的平均值与近三年完成产值的平均值之间的比例）并以此对投标价格中明显不合理的企业管理费率进行修正；</w:t>
      </w:r>
    </w:p>
    <w:p>
      <w:pPr>
        <w:spacing w:line="360" w:lineRule="auto"/>
        <w:ind w:firstLine="472" w:firstLineChars="225"/>
        <w:rPr>
          <w:rFonts w:ascii="宋体" w:cs="Arial"/>
          <w:szCs w:val="21"/>
        </w:rPr>
      </w:pPr>
      <w:r>
        <w:rPr>
          <w:rFonts w:hint="eastAsia" w:ascii="宋体" w:hAnsi="宋体" w:cs="Arial"/>
          <w:szCs w:val="21"/>
        </w:rPr>
        <w:t>企业管理费率明显不合理并且做不到前项时，按其他通过初步评审的各家投标人的企业管理费率以及标底或招标控制价（如果有）中的企业管理费率的平均费率为准进行修正；</w:t>
      </w:r>
    </w:p>
    <w:p>
      <w:pPr>
        <w:spacing w:line="360" w:lineRule="auto"/>
        <w:ind w:firstLine="472" w:firstLineChars="225"/>
        <w:rPr>
          <w:rFonts w:ascii="宋体" w:cs="Arial"/>
          <w:szCs w:val="21"/>
        </w:rPr>
      </w:pPr>
      <w:r>
        <w:rPr>
          <w:rFonts w:hint="eastAsia" w:ascii="宋体" w:hAnsi="宋体" w:cs="Arial"/>
          <w:szCs w:val="21"/>
        </w:rPr>
        <w:t>分部分项工程量清单和单价措施项目清单综合单价分析表中的企业管理费率与费率报价表（如果有）报出的企业管理费率不一致的，以费率报价表（如果有）报出的企业管理费率为准进行修正（但如果费率报价表中的费率明显不合理时，应执行根据上述原则修正后的管理费率）。</w:t>
      </w:r>
    </w:p>
    <w:p>
      <w:pPr>
        <w:spacing w:line="360" w:lineRule="auto"/>
        <w:rPr>
          <w:rFonts w:ascii="宋体" w:cs="Arial"/>
          <w:szCs w:val="21"/>
        </w:rPr>
      </w:pPr>
      <w:bookmarkStart w:id="1440" w:name="_Toc429569252"/>
      <w:bookmarkStart w:id="1441" w:name="_Toc479499846"/>
      <w:bookmarkStart w:id="1442" w:name="_Toc480140237"/>
      <w:bookmarkStart w:id="1443" w:name="_Toc480140480"/>
      <w:r>
        <w:rPr>
          <w:rFonts w:ascii="宋体" w:hAnsi="宋体" w:cs="Arial"/>
          <w:szCs w:val="21"/>
        </w:rPr>
        <w:t>B7.2</w:t>
      </w:r>
      <w:r>
        <w:rPr>
          <w:rFonts w:hint="eastAsia" w:ascii="宋体" w:hAnsi="宋体" w:cs="Arial"/>
          <w:szCs w:val="21"/>
        </w:rPr>
        <w:t>企业管理费分析和修正的方法</w:t>
      </w:r>
      <w:bookmarkEnd w:id="1440"/>
      <w:bookmarkEnd w:id="1441"/>
      <w:bookmarkEnd w:id="1442"/>
      <w:bookmarkEnd w:id="1443"/>
    </w:p>
    <w:p>
      <w:pPr>
        <w:spacing w:line="360" w:lineRule="auto"/>
        <w:ind w:firstLine="472" w:firstLineChars="225"/>
        <w:rPr>
          <w:rFonts w:ascii="宋体" w:cs="Arial"/>
          <w:szCs w:val="21"/>
        </w:rPr>
      </w:pPr>
      <w:r>
        <w:rPr>
          <w:rFonts w:hint="eastAsia" w:ascii="宋体" w:hAnsi="宋体" w:cs="Arial"/>
          <w:szCs w:val="21"/>
        </w:rPr>
        <w:t>企业管理费分析和修正的方法如下：</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B-5</w:t>
      </w:r>
      <w:r>
        <w:rPr>
          <w:rFonts w:hint="eastAsia" w:ascii="宋体" w:hAnsi="宋体" w:cs="Arial"/>
          <w:szCs w:val="21"/>
        </w:rPr>
        <w:t>的格式进行分析和修正；</w:t>
      </w:r>
    </w:p>
    <w:p>
      <w:pPr>
        <w:spacing w:line="360" w:lineRule="auto"/>
        <w:ind w:firstLine="472" w:firstLineChars="225"/>
        <w:rPr>
          <w:rFonts w:ascii="宋体" w:cs="Arial"/>
          <w:szCs w:val="21"/>
        </w:rPr>
      </w:pPr>
      <w:r>
        <w:rPr>
          <w:rFonts w:hint="eastAsia" w:ascii="宋体" w:hAnsi="宋体" w:cs="Arial"/>
          <w:szCs w:val="21"/>
        </w:rPr>
        <w:t>汇总分析结果，将经修正后产生的价格差额记为</w:t>
      </w:r>
      <w:r>
        <w:rPr>
          <w:rFonts w:ascii="宋体" w:hAnsi="宋体" w:cs="Arial"/>
          <w:szCs w:val="21"/>
        </w:rPr>
        <w:t>E</w:t>
      </w:r>
      <w:r>
        <w:rPr>
          <w:rFonts w:hint="eastAsia" w:ascii="宋体" w:hAnsi="宋体" w:cs="Arial"/>
          <w:szCs w:val="21"/>
        </w:rPr>
        <w:t>值，同时整理需要投标人澄清和说明的事项。</w:t>
      </w:r>
    </w:p>
    <w:p>
      <w:pPr>
        <w:spacing w:line="360" w:lineRule="auto"/>
        <w:rPr>
          <w:rFonts w:ascii="宋体" w:cs="Arial"/>
          <w:szCs w:val="21"/>
        </w:rPr>
      </w:pPr>
      <w:bookmarkStart w:id="1444" w:name="_Toc429569253"/>
      <w:bookmarkStart w:id="1445" w:name="_Toc479499847"/>
      <w:bookmarkStart w:id="1446" w:name="_Toc480140238"/>
      <w:bookmarkStart w:id="1447" w:name="_Toc480140481"/>
      <w:r>
        <w:rPr>
          <w:rFonts w:ascii="宋体" w:hAnsi="宋体" w:cs="Arial"/>
          <w:szCs w:val="21"/>
        </w:rPr>
        <w:t>B8.</w:t>
      </w:r>
      <w:r>
        <w:rPr>
          <w:rFonts w:hint="eastAsia" w:ascii="宋体" w:hAnsi="宋体" w:cs="Arial"/>
          <w:szCs w:val="21"/>
        </w:rPr>
        <w:t>利润水平合理性分析和修正</w:t>
      </w:r>
      <w:bookmarkEnd w:id="1444"/>
      <w:bookmarkEnd w:id="1445"/>
      <w:bookmarkEnd w:id="1446"/>
      <w:bookmarkEnd w:id="1447"/>
    </w:p>
    <w:p>
      <w:pPr>
        <w:spacing w:line="360" w:lineRule="auto"/>
        <w:rPr>
          <w:rFonts w:ascii="宋体" w:cs="Arial"/>
          <w:szCs w:val="21"/>
        </w:rPr>
      </w:pPr>
      <w:bookmarkStart w:id="1448" w:name="_Toc429569254"/>
      <w:bookmarkStart w:id="1449" w:name="_Toc479499848"/>
      <w:bookmarkStart w:id="1450" w:name="_Toc480140239"/>
      <w:bookmarkStart w:id="1451" w:name="_Toc480140482"/>
      <w:r>
        <w:rPr>
          <w:rFonts w:ascii="宋体" w:hAnsi="宋体" w:cs="Arial"/>
          <w:szCs w:val="21"/>
        </w:rPr>
        <w:t>B8.1</w:t>
      </w:r>
      <w:r>
        <w:rPr>
          <w:rFonts w:hint="eastAsia" w:ascii="宋体" w:hAnsi="宋体" w:cs="Arial"/>
          <w:szCs w:val="21"/>
        </w:rPr>
        <w:t>利润水平分析和修正的原则</w:t>
      </w:r>
      <w:bookmarkEnd w:id="1448"/>
      <w:bookmarkEnd w:id="1449"/>
      <w:bookmarkEnd w:id="1450"/>
      <w:bookmarkEnd w:id="1451"/>
    </w:p>
    <w:p>
      <w:pPr>
        <w:spacing w:line="360" w:lineRule="auto"/>
        <w:ind w:firstLine="472" w:firstLineChars="225"/>
        <w:rPr>
          <w:rFonts w:ascii="宋体" w:cs="Arial"/>
          <w:szCs w:val="21"/>
        </w:rPr>
      </w:pPr>
      <w:r>
        <w:rPr>
          <w:rFonts w:hint="eastAsia" w:ascii="宋体" w:hAnsi="宋体" w:cs="Arial"/>
          <w:szCs w:val="21"/>
        </w:rPr>
        <w:t>利润水平分析和修正的原则如下：</w:t>
      </w:r>
    </w:p>
    <w:p>
      <w:pPr>
        <w:spacing w:line="360" w:lineRule="auto"/>
        <w:ind w:firstLine="472" w:firstLineChars="225"/>
        <w:rPr>
          <w:rFonts w:ascii="宋体" w:cs="Arial"/>
          <w:szCs w:val="21"/>
        </w:rPr>
      </w:pPr>
      <w:r>
        <w:rPr>
          <w:rFonts w:hint="eastAsia" w:ascii="宋体" w:hAnsi="宋体" w:cs="Arial"/>
          <w:szCs w:val="21"/>
        </w:rPr>
        <w:t>按国有资产管理部门对投标人下达的国有资产增值保值率或投标人公司董事会或股东会要求的企业净资产收益率或股本收益率对投标价格中明显不合理的利润率进行修正；</w:t>
      </w:r>
    </w:p>
    <w:p>
      <w:pPr>
        <w:spacing w:line="360" w:lineRule="auto"/>
        <w:ind w:firstLine="472" w:firstLineChars="225"/>
        <w:rPr>
          <w:rFonts w:ascii="宋体" w:cs="Arial"/>
          <w:szCs w:val="21"/>
        </w:rPr>
      </w:pPr>
      <w:r>
        <w:rPr>
          <w:rFonts w:hint="eastAsia" w:ascii="宋体" w:hAnsi="宋体" w:cs="Arial"/>
          <w:szCs w:val="21"/>
        </w:rPr>
        <w:t>利润率明显不合理并且做不到前项时，按其他通过初步评审的各家投标人的利润率以及标底或招标控制价（如果有）中的利润率的平均费率为准进行修正；</w:t>
      </w:r>
    </w:p>
    <w:p>
      <w:pPr>
        <w:spacing w:line="360" w:lineRule="auto"/>
        <w:ind w:firstLine="472" w:firstLineChars="225"/>
        <w:rPr>
          <w:rFonts w:ascii="宋体" w:cs="Arial"/>
          <w:szCs w:val="21"/>
        </w:rPr>
      </w:pPr>
      <w:r>
        <w:rPr>
          <w:rFonts w:hint="eastAsia" w:ascii="宋体" w:hAnsi="宋体" w:cs="Arial"/>
          <w:szCs w:val="21"/>
        </w:rPr>
        <w:t>分部分项工程量清单和单价措施项目清单综合单价分析表中的利润率与费率报价表（如果有）报出的利润率不一致的，以费率报价表（如果有）报出的利润率为准进行修正（但如果费率报价表中的费率明显不合理时，应执行根据上述原则修正后的利润率）。</w:t>
      </w:r>
    </w:p>
    <w:p>
      <w:pPr>
        <w:spacing w:line="360" w:lineRule="auto"/>
        <w:rPr>
          <w:rFonts w:ascii="宋体" w:cs="Arial"/>
          <w:szCs w:val="21"/>
        </w:rPr>
      </w:pPr>
      <w:bookmarkStart w:id="1452" w:name="_Toc479499849"/>
      <w:bookmarkStart w:id="1453" w:name="_Toc480140240"/>
      <w:bookmarkStart w:id="1454" w:name="_Toc480140483"/>
      <w:bookmarkStart w:id="1455" w:name="_Toc429569255"/>
      <w:r>
        <w:rPr>
          <w:rFonts w:ascii="宋体" w:hAnsi="宋体" w:cs="Arial"/>
          <w:szCs w:val="21"/>
        </w:rPr>
        <w:t>B8.2</w:t>
      </w:r>
      <w:r>
        <w:rPr>
          <w:rFonts w:hint="eastAsia" w:ascii="宋体" w:hAnsi="宋体" w:cs="Arial"/>
          <w:szCs w:val="21"/>
        </w:rPr>
        <w:t>利润水平分析和修正的方法</w:t>
      </w:r>
      <w:bookmarkEnd w:id="1452"/>
      <w:bookmarkEnd w:id="1453"/>
      <w:bookmarkEnd w:id="1454"/>
      <w:bookmarkEnd w:id="1455"/>
    </w:p>
    <w:p>
      <w:pPr>
        <w:spacing w:line="360" w:lineRule="auto"/>
        <w:ind w:firstLine="472" w:firstLineChars="225"/>
        <w:rPr>
          <w:rFonts w:ascii="宋体" w:cs="Arial"/>
          <w:szCs w:val="21"/>
        </w:rPr>
      </w:pPr>
      <w:r>
        <w:rPr>
          <w:rFonts w:hint="eastAsia" w:ascii="宋体" w:hAnsi="宋体" w:cs="Arial"/>
          <w:szCs w:val="21"/>
        </w:rPr>
        <w:t>利润水平分析和修正的方法如下：</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B-5</w:t>
      </w:r>
      <w:r>
        <w:rPr>
          <w:rFonts w:hint="eastAsia" w:ascii="宋体" w:hAnsi="宋体" w:cs="Arial"/>
          <w:szCs w:val="21"/>
        </w:rPr>
        <w:t>的格式进行分析和修正；</w:t>
      </w:r>
    </w:p>
    <w:p>
      <w:pPr>
        <w:spacing w:line="360" w:lineRule="auto"/>
        <w:ind w:firstLine="472" w:firstLineChars="225"/>
        <w:rPr>
          <w:rFonts w:ascii="宋体" w:hAnsi="宋体" w:cs="Arial"/>
          <w:szCs w:val="21"/>
        </w:rPr>
      </w:pPr>
      <w:r>
        <w:rPr>
          <w:rFonts w:hint="eastAsia" w:ascii="宋体" w:hAnsi="宋体" w:cs="Arial"/>
          <w:szCs w:val="21"/>
        </w:rPr>
        <w:t>汇总分析结果，将经修正后产生的价格差额记为</w:t>
      </w:r>
      <w:r>
        <w:rPr>
          <w:rFonts w:ascii="宋体" w:hAnsi="宋体" w:cs="Arial"/>
          <w:szCs w:val="21"/>
        </w:rPr>
        <w:t>F</w:t>
      </w:r>
      <w:r>
        <w:rPr>
          <w:rFonts w:hint="eastAsia" w:ascii="宋体" w:hAnsi="宋体" w:cs="Arial"/>
          <w:szCs w:val="21"/>
        </w:rPr>
        <w:t>值，同时整理需要投标人澄清和说明的事项。</w:t>
      </w:r>
    </w:p>
    <w:p>
      <w:pPr>
        <w:spacing w:line="360" w:lineRule="auto"/>
        <w:rPr>
          <w:rFonts w:ascii="宋体" w:cs="Arial"/>
          <w:szCs w:val="21"/>
        </w:rPr>
      </w:pPr>
      <w:bookmarkStart w:id="1456" w:name="_Hlk119052273"/>
      <w:r>
        <w:rPr>
          <w:rFonts w:ascii="宋体" w:hAnsi="宋体" w:cs="Arial"/>
          <w:szCs w:val="21"/>
        </w:rPr>
        <w:t>B9.</w:t>
      </w:r>
      <w:r>
        <w:rPr>
          <w:rFonts w:hint="eastAsia" w:ascii="宋体" w:hAnsi="宋体" w:cs="Arial"/>
          <w:szCs w:val="21"/>
        </w:rPr>
        <w:t>法定规费的完整性分析和修正</w:t>
      </w:r>
    </w:p>
    <w:p>
      <w:pPr>
        <w:spacing w:line="360" w:lineRule="auto"/>
        <w:ind w:firstLine="472" w:firstLineChars="225"/>
        <w:rPr>
          <w:rFonts w:ascii="宋体" w:cs="Arial"/>
          <w:szCs w:val="21"/>
        </w:rPr>
      </w:pPr>
      <w:r>
        <w:rPr>
          <w:rFonts w:hint="eastAsia" w:ascii="宋体" w:hAnsi="宋体" w:cs="Arial"/>
          <w:szCs w:val="21"/>
        </w:rPr>
        <w:t>根据投标价格分析出其中法定规费的百分比，对照现行有关法律、法规规定的额度或比率，对投标报价进行分析和修正。</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B-5</w:t>
      </w:r>
      <w:r>
        <w:rPr>
          <w:rFonts w:hint="eastAsia" w:ascii="宋体" w:hAnsi="宋体" w:cs="Arial"/>
          <w:szCs w:val="21"/>
        </w:rPr>
        <w:t>的格式进行分析和修正；将经修正后产生的价格差额记为</w:t>
      </w:r>
      <w:r>
        <w:rPr>
          <w:rFonts w:ascii="宋体" w:hAnsi="宋体" w:cs="Arial"/>
          <w:szCs w:val="21"/>
        </w:rPr>
        <w:t>G</w:t>
      </w:r>
      <w:r>
        <w:rPr>
          <w:rFonts w:hint="eastAsia" w:ascii="宋体" w:hAnsi="宋体" w:cs="Arial"/>
          <w:szCs w:val="21"/>
        </w:rPr>
        <w:t>值，整理需要投标人澄清和说明的事项。</w:t>
      </w:r>
    </w:p>
    <w:bookmarkEnd w:id="1456"/>
    <w:p>
      <w:pPr>
        <w:spacing w:line="360" w:lineRule="auto"/>
        <w:rPr>
          <w:rFonts w:ascii="宋体" w:cs="Arial"/>
          <w:szCs w:val="21"/>
        </w:rPr>
      </w:pPr>
      <w:bookmarkStart w:id="1457" w:name="_Toc429569256"/>
      <w:bookmarkStart w:id="1458" w:name="_Toc479499850"/>
      <w:bookmarkStart w:id="1459" w:name="_Toc480140241"/>
      <w:bookmarkStart w:id="1460" w:name="_Toc480140484"/>
      <w:r>
        <w:rPr>
          <w:rFonts w:ascii="宋体" w:hAnsi="宋体" w:cs="Arial"/>
          <w:szCs w:val="21"/>
        </w:rPr>
        <w:t>B10.</w:t>
      </w:r>
      <w:r>
        <w:rPr>
          <w:rFonts w:hint="eastAsia" w:ascii="宋体" w:hAnsi="宋体" w:cs="Arial"/>
          <w:szCs w:val="21"/>
        </w:rPr>
        <w:t>法定税金的完整性分析和修正</w:t>
      </w:r>
      <w:bookmarkEnd w:id="1457"/>
      <w:bookmarkEnd w:id="1458"/>
      <w:bookmarkEnd w:id="1459"/>
      <w:bookmarkEnd w:id="1460"/>
    </w:p>
    <w:p>
      <w:pPr>
        <w:spacing w:line="360" w:lineRule="auto"/>
        <w:ind w:firstLine="472" w:firstLineChars="225"/>
        <w:rPr>
          <w:rFonts w:ascii="宋体" w:cs="Arial"/>
          <w:szCs w:val="21"/>
        </w:rPr>
      </w:pPr>
      <w:r>
        <w:rPr>
          <w:rFonts w:hint="eastAsia" w:ascii="宋体" w:hAnsi="宋体" w:cs="Arial"/>
          <w:szCs w:val="21"/>
        </w:rPr>
        <w:t>根据投标价格分析出其中法定税金的百分比，对照现行有关法律、法规规定的额度或比率，对投标报价进行分析和修正。</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B-5</w:t>
      </w:r>
      <w:r>
        <w:rPr>
          <w:rFonts w:hint="eastAsia" w:ascii="宋体" w:hAnsi="宋体" w:cs="Arial"/>
          <w:szCs w:val="21"/>
        </w:rPr>
        <w:t>的格式进行分析和修正；将经修正后产生的价格差额记为</w:t>
      </w:r>
      <w:r>
        <w:rPr>
          <w:rFonts w:ascii="宋体" w:hAnsi="宋体" w:cs="Arial"/>
          <w:szCs w:val="21"/>
        </w:rPr>
        <w:t>H</w:t>
      </w:r>
      <w:r>
        <w:rPr>
          <w:rFonts w:hint="eastAsia" w:ascii="宋体" w:hAnsi="宋体" w:cs="Arial"/>
          <w:szCs w:val="21"/>
        </w:rPr>
        <w:t>值，整理需要投标人澄清和说明的事项。</w:t>
      </w:r>
    </w:p>
    <w:p>
      <w:pPr>
        <w:spacing w:line="360" w:lineRule="auto"/>
        <w:rPr>
          <w:rFonts w:ascii="宋体" w:cs="Arial"/>
          <w:szCs w:val="21"/>
        </w:rPr>
      </w:pPr>
      <w:bookmarkStart w:id="1461" w:name="_Toc429569257"/>
      <w:bookmarkStart w:id="1462" w:name="_Toc479499851"/>
      <w:bookmarkStart w:id="1463" w:name="_Toc480140242"/>
      <w:bookmarkStart w:id="1464" w:name="_Toc480140485"/>
      <w:r>
        <w:rPr>
          <w:rFonts w:ascii="宋体" w:hAnsi="宋体" w:cs="Arial"/>
          <w:szCs w:val="21"/>
        </w:rPr>
        <w:t>B11.</w:t>
      </w:r>
      <w:r>
        <w:rPr>
          <w:rFonts w:hint="eastAsia" w:ascii="宋体" w:hAnsi="宋体" w:cs="Arial"/>
          <w:szCs w:val="21"/>
        </w:rPr>
        <w:t>不平衡报价分析和修正</w:t>
      </w:r>
      <w:bookmarkEnd w:id="1461"/>
      <w:bookmarkEnd w:id="1462"/>
      <w:bookmarkEnd w:id="1463"/>
      <w:bookmarkEnd w:id="1464"/>
    </w:p>
    <w:p>
      <w:pPr>
        <w:spacing w:line="360" w:lineRule="auto"/>
        <w:ind w:firstLine="472" w:firstLineChars="225"/>
        <w:rPr>
          <w:rFonts w:ascii="宋体" w:cs="Arial"/>
          <w:szCs w:val="21"/>
        </w:rPr>
      </w:pPr>
      <w:r>
        <w:rPr>
          <w:rFonts w:hint="eastAsia" w:ascii="宋体" w:hAnsi="宋体" w:cs="Arial"/>
          <w:szCs w:val="21"/>
        </w:rPr>
        <w:t>评审各项单价的合理性以及是否存在不平衡报价的情况，对明显过高或过低的价格进行分析。</w:t>
      </w:r>
    </w:p>
    <w:p>
      <w:pPr>
        <w:spacing w:line="360" w:lineRule="auto"/>
        <w:ind w:firstLine="472" w:firstLineChars="225"/>
        <w:rPr>
          <w:rFonts w:ascii="宋体" w:cs="Arial"/>
          <w:szCs w:val="21"/>
        </w:rPr>
      </w:pPr>
      <w:r>
        <w:rPr>
          <w:rFonts w:hint="eastAsia" w:ascii="宋体" w:hAnsi="宋体" w:cs="Arial"/>
          <w:szCs w:val="21"/>
        </w:rPr>
        <w:t>按附表</w:t>
      </w:r>
      <w:r>
        <w:rPr>
          <w:rFonts w:ascii="宋体" w:hAnsi="宋体" w:cs="Arial"/>
          <w:szCs w:val="21"/>
        </w:rPr>
        <w:t>B-6</w:t>
      </w:r>
      <w:r>
        <w:rPr>
          <w:rFonts w:hint="eastAsia" w:ascii="宋体" w:hAnsi="宋体" w:cs="Arial"/>
          <w:szCs w:val="21"/>
        </w:rPr>
        <w:t>汇总分析结果，修正明显过高的价格产生的差额，首先用于填补修正过低的价格产生的差额，两者的余额记为</w:t>
      </w:r>
      <w:r>
        <w:rPr>
          <w:rFonts w:ascii="宋体" w:hAnsi="宋体" w:cs="Arial"/>
          <w:szCs w:val="21"/>
        </w:rPr>
        <w:t>I</w:t>
      </w:r>
      <w:r>
        <w:rPr>
          <w:rFonts w:hint="eastAsia" w:ascii="宋体" w:hAnsi="宋体" w:cs="Arial"/>
          <w:szCs w:val="21"/>
        </w:rPr>
        <w:t>值，整理需要投标人澄清和说明的事项。</w:t>
      </w:r>
    </w:p>
    <w:p>
      <w:pPr>
        <w:spacing w:line="360" w:lineRule="auto"/>
        <w:rPr>
          <w:rFonts w:ascii="宋体" w:cs="Arial"/>
          <w:szCs w:val="21"/>
        </w:rPr>
      </w:pPr>
      <w:bookmarkStart w:id="1465" w:name="_Toc429569258"/>
      <w:bookmarkStart w:id="1466" w:name="_Toc479499852"/>
      <w:bookmarkStart w:id="1467" w:name="_Toc480140243"/>
      <w:bookmarkStart w:id="1468" w:name="_Toc480140486"/>
      <w:r>
        <w:rPr>
          <w:rFonts w:ascii="宋体" w:hAnsi="宋体" w:cs="Arial"/>
          <w:szCs w:val="21"/>
        </w:rPr>
        <w:t>B12.</w:t>
      </w:r>
      <w:r>
        <w:rPr>
          <w:rFonts w:hint="eastAsia" w:ascii="宋体" w:hAnsi="宋体" w:cs="Arial"/>
          <w:szCs w:val="21"/>
        </w:rPr>
        <w:t>对投标报价的澄清和说明</w:t>
      </w:r>
      <w:bookmarkEnd w:id="1465"/>
      <w:bookmarkEnd w:id="1466"/>
      <w:bookmarkEnd w:id="1467"/>
      <w:bookmarkEnd w:id="1468"/>
    </w:p>
    <w:p>
      <w:pPr>
        <w:spacing w:line="360" w:lineRule="auto"/>
        <w:ind w:firstLine="472" w:firstLineChars="225"/>
        <w:rPr>
          <w:rFonts w:ascii="宋体" w:cs="Arial"/>
          <w:szCs w:val="21"/>
        </w:rPr>
      </w:pPr>
      <w:r>
        <w:rPr>
          <w:rFonts w:hint="eastAsia" w:ascii="宋体" w:hAnsi="宋体" w:cs="Arial"/>
          <w:szCs w:val="21"/>
        </w:rPr>
        <w:t>评标委员会对上述</w:t>
      </w:r>
      <w:r>
        <w:rPr>
          <w:rFonts w:ascii="宋体" w:hAnsi="宋体" w:cs="Arial"/>
          <w:szCs w:val="21"/>
        </w:rPr>
        <w:t>B3</w:t>
      </w:r>
      <w:r>
        <w:rPr>
          <w:rFonts w:hint="eastAsia" w:ascii="宋体" w:hAnsi="宋体" w:cs="Arial"/>
          <w:szCs w:val="21"/>
        </w:rPr>
        <w:t>至</w:t>
      </w:r>
      <w:r>
        <w:rPr>
          <w:rFonts w:ascii="宋体" w:hAnsi="宋体" w:cs="Arial"/>
          <w:szCs w:val="21"/>
        </w:rPr>
        <w:t>B11</w:t>
      </w:r>
      <w:r>
        <w:rPr>
          <w:rFonts w:hint="eastAsia" w:ascii="宋体" w:hAnsi="宋体" w:cs="Arial"/>
          <w:szCs w:val="21"/>
        </w:rPr>
        <w:t>条的评审结果进行汇总和整理。以其各自的代数值汇总</w:t>
      </w:r>
      <w:r>
        <w:rPr>
          <w:rFonts w:ascii="宋体" w:hAnsi="宋体" w:cs="Arial"/>
          <w:szCs w:val="21"/>
        </w:rPr>
        <w:t>A</w:t>
      </w:r>
      <w:r>
        <w:rPr>
          <w:rFonts w:hint="eastAsia" w:ascii="宋体" w:hAnsi="宋体" w:cs="Arial"/>
          <w:szCs w:val="21"/>
        </w:rPr>
        <w:t>值至</w:t>
      </w:r>
      <w:r>
        <w:rPr>
          <w:rFonts w:ascii="宋体" w:hAnsi="宋体" w:cs="Arial"/>
          <w:szCs w:val="21"/>
        </w:rPr>
        <w:t>I</w:t>
      </w:r>
      <w:r>
        <w:rPr>
          <w:rFonts w:hint="eastAsia" w:ascii="宋体" w:hAnsi="宋体" w:cs="Arial"/>
          <w:szCs w:val="21"/>
        </w:rPr>
        <w:t>值，得出合计差额</w:t>
      </w:r>
      <w:r>
        <w:rPr>
          <w:rFonts w:hint="eastAsia" w:ascii="宋体" w:cs="Arial"/>
          <w:szCs w:val="21"/>
        </w:rPr>
        <w:t>Δ</w:t>
      </w:r>
      <w:r>
        <w:rPr>
          <w:rFonts w:ascii="宋体" w:hAnsi="宋体" w:cs="Arial"/>
          <w:szCs w:val="21"/>
        </w:rPr>
        <w:t>1</w:t>
      </w:r>
      <w:r>
        <w:rPr>
          <w:rFonts w:hint="eastAsia" w:ascii="宋体" w:hAnsi="宋体" w:cs="Arial"/>
          <w:szCs w:val="21"/>
        </w:rPr>
        <w:t>（附表</w:t>
      </w:r>
      <w:r>
        <w:rPr>
          <w:rFonts w:ascii="宋体" w:hAnsi="宋体" w:cs="Arial"/>
          <w:szCs w:val="21"/>
        </w:rPr>
        <w:t>B-7</w:t>
      </w:r>
      <w:r>
        <w:rPr>
          <w:rFonts w:hint="eastAsia" w:ascii="宋体" w:hAnsi="宋体" w:cs="Arial"/>
          <w:szCs w:val="21"/>
        </w:rPr>
        <w:t>），并整理出需要投标人澄清和说明的全部事项。如果投标人存在需要补正的问题，评标委员会可以同时要求投标人进行补正。</w:t>
      </w:r>
    </w:p>
    <w:p>
      <w:pPr>
        <w:spacing w:line="360" w:lineRule="auto"/>
        <w:ind w:firstLine="472" w:firstLineChars="225"/>
        <w:rPr>
          <w:rFonts w:ascii="宋体" w:cs="Arial"/>
          <w:szCs w:val="21"/>
        </w:rPr>
      </w:pPr>
      <w:r>
        <w:rPr>
          <w:rFonts w:hint="eastAsia" w:ascii="宋体" w:hAnsi="宋体" w:cs="Arial"/>
          <w:szCs w:val="21"/>
        </w:rPr>
        <w:t>评标委员会应当根据本章第</w:t>
      </w:r>
      <w:r>
        <w:rPr>
          <w:rFonts w:ascii="宋体" w:hAnsi="宋体" w:cs="Arial"/>
          <w:szCs w:val="21"/>
        </w:rPr>
        <w:t>3.5</w:t>
      </w:r>
      <w:r>
        <w:rPr>
          <w:rFonts w:hint="eastAsia" w:ascii="宋体" w:hAnsi="宋体" w:cs="Arial"/>
          <w:szCs w:val="21"/>
        </w:rPr>
        <w:t>款的规定，对需要投标人澄清、说明和提供进一步证明的事项向投标人发出书面问题澄清通知，并附上质疑问卷，问题澄清通知和质疑问卷应当包括：质疑问题、有关澄清要求、需要书面回复的内容、回复时间（应给投标人留出足够的回复时间）、递交方式等。投标人的澄清、说明、补正和提供进一步证明应当采取书面形式。</w:t>
      </w:r>
    </w:p>
    <w:p>
      <w:pPr>
        <w:spacing w:line="360" w:lineRule="auto"/>
        <w:ind w:firstLine="472" w:firstLineChars="225"/>
        <w:rPr>
          <w:rFonts w:ascii="宋体" w:cs="Arial"/>
          <w:szCs w:val="21"/>
        </w:rPr>
      </w:pPr>
      <w:r>
        <w:rPr>
          <w:rFonts w:hint="eastAsia" w:ascii="宋体" w:hAnsi="宋体" w:cs="Arial"/>
          <w:szCs w:val="21"/>
        </w:rPr>
        <w:t>如果评标委员会对投标人提交的质疑问题的澄清和说明依然存在疑问，评标委员会可以进一步要求澄清、说明或补正，投标人应相应地进一步澄清、说明和提交相关证明材料，直至评标委员会认为全部疑问都得到澄清和说明。</w:t>
      </w:r>
    </w:p>
    <w:p>
      <w:pPr>
        <w:spacing w:line="360" w:lineRule="auto"/>
        <w:ind w:firstLine="472" w:firstLineChars="225"/>
        <w:rPr>
          <w:rFonts w:ascii="宋体" w:cs="Arial"/>
          <w:szCs w:val="21"/>
        </w:rPr>
      </w:pPr>
      <w:r>
        <w:rPr>
          <w:rFonts w:hint="eastAsia" w:ascii="宋体" w:hAnsi="宋体" w:cs="Arial"/>
          <w:szCs w:val="21"/>
        </w:rPr>
        <w:t>根据澄清和说明结果，对于投标人已经有效澄清和说明的问题和子目应从上述</w:t>
      </w:r>
      <w:r>
        <w:rPr>
          <w:rFonts w:ascii="宋体" w:hAnsi="宋体" w:cs="Arial"/>
          <w:szCs w:val="21"/>
        </w:rPr>
        <w:t>A</w:t>
      </w:r>
      <w:r>
        <w:rPr>
          <w:rFonts w:hint="eastAsia" w:ascii="宋体" w:hAnsi="宋体" w:cs="Arial"/>
          <w:szCs w:val="21"/>
        </w:rPr>
        <w:t>值至</w:t>
      </w:r>
      <w:bookmarkStart w:id="1469" w:name="_Hlk119052400"/>
      <w:r>
        <w:rPr>
          <w:rFonts w:ascii="宋体" w:hAnsi="宋体" w:cs="Arial"/>
          <w:szCs w:val="21"/>
        </w:rPr>
        <w:t>I</w:t>
      </w:r>
      <w:bookmarkEnd w:id="1469"/>
      <w:r>
        <w:rPr>
          <w:rFonts w:hint="eastAsia" w:ascii="宋体" w:hAnsi="宋体" w:cs="Arial"/>
          <w:szCs w:val="21"/>
        </w:rPr>
        <w:t>值的计算中剔除或修正，按附表</w:t>
      </w:r>
      <w:r>
        <w:rPr>
          <w:rFonts w:ascii="宋体" w:hAnsi="宋体" w:cs="Arial"/>
          <w:szCs w:val="21"/>
        </w:rPr>
        <w:t>B-7</w:t>
      </w:r>
      <w:r>
        <w:rPr>
          <w:rFonts w:hint="eastAsia" w:ascii="宋体" w:hAnsi="宋体" w:cs="Arial"/>
          <w:szCs w:val="21"/>
        </w:rPr>
        <w:t>格式修正</w:t>
      </w:r>
      <w:r>
        <w:rPr>
          <w:rFonts w:ascii="宋体" w:hAnsi="宋体" w:cs="Arial"/>
          <w:szCs w:val="21"/>
        </w:rPr>
        <w:t>A</w:t>
      </w:r>
      <w:r>
        <w:rPr>
          <w:rFonts w:hint="eastAsia" w:ascii="宋体" w:hAnsi="宋体" w:cs="Arial"/>
          <w:szCs w:val="21"/>
        </w:rPr>
        <w:t>值至</w:t>
      </w:r>
      <w:r>
        <w:rPr>
          <w:rFonts w:ascii="宋体" w:hAnsi="宋体" w:cs="Arial"/>
          <w:szCs w:val="21"/>
        </w:rPr>
        <w:t>I</w:t>
      </w:r>
      <w:r>
        <w:rPr>
          <w:rFonts w:hint="eastAsia" w:ascii="宋体" w:hAnsi="宋体" w:cs="Arial"/>
          <w:szCs w:val="21"/>
        </w:rPr>
        <w:t>值并计算最终差额</w:t>
      </w:r>
      <w:r>
        <w:rPr>
          <w:rFonts w:hint="eastAsia" w:ascii="宋体" w:cs="Arial"/>
          <w:szCs w:val="21"/>
        </w:rPr>
        <w:t>Δ</w:t>
      </w:r>
      <w:r>
        <w:rPr>
          <w:rFonts w:ascii="宋体" w:hAnsi="宋体" w:cs="Arial"/>
          <w:szCs w:val="21"/>
        </w:rPr>
        <w:t>2</w:t>
      </w:r>
      <w:r>
        <w:rPr>
          <w:rFonts w:hint="eastAsia" w:ascii="宋体" w:hAnsi="宋体" w:cs="Arial"/>
          <w:szCs w:val="21"/>
        </w:rPr>
        <w:t>。本款中所谓的</w:t>
      </w:r>
      <w:r>
        <w:rPr>
          <w:rFonts w:hint="eastAsia" w:ascii="宋体" w:cs="Arial"/>
          <w:szCs w:val="21"/>
        </w:rPr>
        <w:t>“</w:t>
      </w:r>
      <w:r>
        <w:rPr>
          <w:rFonts w:hint="eastAsia" w:ascii="宋体" w:hAnsi="宋体" w:cs="Arial"/>
          <w:szCs w:val="21"/>
        </w:rPr>
        <w:t>有效澄清</w:t>
      </w:r>
      <w:r>
        <w:rPr>
          <w:rFonts w:hint="eastAsia" w:ascii="宋体" w:cs="Arial"/>
          <w:szCs w:val="21"/>
        </w:rPr>
        <w:t>”</w:t>
      </w:r>
      <w:r>
        <w:rPr>
          <w:rFonts w:hint="eastAsia" w:ascii="宋体" w:hAnsi="宋体" w:cs="Arial"/>
          <w:szCs w:val="21"/>
        </w:rPr>
        <w:t>是指投标人做出的澄清和说明已经合理地解释或说明了评标委员会提出的问题并且澄清结果令评标委员会信服。</w:t>
      </w:r>
    </w:p>
    <w:p>
      <w:pPr>
        <w:spacing w:line="360" w:lineRule="auto"/>
        <w:rPr>
          <w:rFonts w:ascii="宋体" w:cs="Arial"/>
          <w:szCs w:val="21"/>
        </w:rPr>
      </w:pPr>
      <w:bookmarkStart w:id="1470" w:name="_Toc429569259"/>
      <w:bookmarkStart w:id="1471" w:name="_Toc479499853"/>
      <w:bookmarkStart w:id="1472" w:name="_Toc480140244"/>
      <w:bookmarkStart w:id="1473" w:name="_Toc480140487"/>
      <w:r>
        <w:rPr>
          <w:rFonts w:ascii="宋体" w:hAnsi="宋体" w:cs="Arial"/>
          <w:szCs w:val="21"/>
        </w:rPr>
        <w:t>B13.</w:t>
      </w:r>
      <w:r>
        <w:rPr>
          <w:rFonts w:hint="eastAsia" w:ascii="宋体" w:hAnsi="宋体" w:cs="Arial"/>
          <w:szCs w:val="21"/>
        </w:rPr>
        <w:t>判断投标报价是否低于成本</w:t>
      </w:r>
      <w:bookmarkEnd w:id="1470"/>
      <w:bookmarkEnd w:id="1471"/>
      <w:bookmarkEnd w:id="1472"/>
      <w:bookmarkEnd w:id="1473"/>
    </w:p>
    <w:p>
      <w:pPr>
        <w:spacing w:line="360" w:lineRule="auto"/>
        <w:ind w:firstLine="472" w:firstLineChars="225"/>
        <w:rPr>
          <w:rFonts w:ascii="宋体" w:cs="Arial"/>
          <w:szCs w:val="21"/>
        </w:rPr>
      </w:pPr>
      <w:r>
        <w:rPr>
          <w:rFonts w:hint="eastAsia" w:ascii="宋体" w:hAnsi="宋体" w:cs="Arial"/>
          <w:szCs w:val="21"/>
        </w:rPr>
        <w:t>评标委员会应按照附表</w:t>
      </w:r>
      <w:r>
        <w:rPr>
          <w:rFonts w:ascii="宋体" w:hAnsi="宋体" w:cs="Arial"/>
          <w:szCs w:val="21"/>
        </w:rPr>
        <w:t>B-8</w:t>
      </w:r>
      <w:r>
        <w:rPr>
          <w:rFonts w:hint="eastAsia" w:ascii="宋体" w:hAnsi="宋体" w:cs="Arial"/>
          <w:szCs w:val="21"/>
        </w:rPr>
        <w:t>的格式填写评审结论记录表，以最终差额</w:t>
      </w:r>
      <w:r>
        <w:rPr>
          <w:rFonts w:hint="eastAsia" w:ascii="宋体" w:cs="Arial"/>
          <w:szCs w:val="21"/>
        </w:rPr>
        <w:t>Δ</w:t>
      </w:r>
      <w:r>
        <w:rPr>
          <w:rFonts w:ascii="宋体" w:hAnsi="宋体" w:cs="Arial"/>
          <w:szCs w:val="21"/>
        </w:rPr>
        <w:t>2</w:t>
      </w:r>
      <w:r>
        <w:rPr>
          <w:rFonts w:hint="eastAsia" w:ascii="宋体" w:hAnsi="宋体" w:cs="Arial"/>
          <w:szCs w:val="21"/>
        </w:rPr>
        <w:t>与投标人投标价格中标明的利润额（如标明的是利润率，以利润率乘以其计取基数，下同）进行比较并得出如下结论：</w:t>
      </w:r>
    </w:p>
    <w:p>
      <w:pPr>
        <w:spacing w:line="360" w:lineRule="auto"/>
        <w:ind w:firstLine="472" w:firstLineChars="225"/>
        <w:rPr>
          <w:rFonts w:ascii="宋体" w:cs="Arial"/>
          <w:szCs w:val="21"/>
        </w:rPr>
      </w:pPr>
      <w:r>
        <w:rPr>
          <w:rFonts w:hint="eastAsia" w:ascii="宋体" w:hAnsi="宋体" w:cs="Arial"/>
          <w:szCs w:val="21"/>
        </w:rPr>
        <w:t>如果最终差额</w:t>
      </w:r>
      <w:r>
        <w:rPr>
          <w:rFonts w:hint="eastAsia" w:ascii="宋体" w:cs="Arial"/>
          <w:szCs w:val="21"/>
        </w:rPr>
        <w:t>Δ</w:t>
      </w:r>
      <w:r>
        <w:rPr>
          <w:rFonts w:ascii="宋体" w:hAnsi="宋体" w:cs="Arial"/>
          <w:szCs w:val="21"/>
        </w:rPr>
        <w:t>2</w:t>
      </w:r>
      <w:r>
        <w:rPr>
          <w:rFonts w:hint="eastAsia" w:ascii="宋体" w:hAnsi="宋体" w:cs="Arial"/>
          <w:szCs w:val="21"/>
        </w:rPr>
        <w:t>（代数值）小于或等于投标人的利润额，则表明该投标人的投标报价不低于成本。</w:t>
      </w:r>
    </w:p>
    <w:p>
      <w:pPr>
        <w:spacing w:line="360" w:lineRule="auto"/>
        <w:ind w:firstLine="472" w:firstLineChars="225"/>
        <w:rPr>
          <w:rFonts w:ascii="宋体" w:cs="Arial"/>
          <w:szCs w:val="21"/>
        </w:rPr>
      </w:pPr>
      <w:r>
        <w:rPr>
          <w:rFonts w:hint="eastAsia" w:ascii="宋体" w:hAnsi="宋体" w:cs="Arial"/>
          <w:szCs w:val="21"/>
        </w:rPr>
        <w:t>如果最终差额</w:t>
      </w:r>
      <w:r>
        <w:rPr>
          <w:rFonts w:hint="eastAsia" w:ascii="宋体" w:cs="Arial"/>
          <w:szCs w:val="21"/>
        </w:rPr>
        <w:t>Δ</w:t>
      </w:r>
      <w:r>
        <w:rPr>
          <w:rFonts w:ascii="宋体" w:hAnsi="宋体" w:cs="Arial"/>
          <w:szCs w:val="21"/>
        </w:rPr>
        <w:t>2</w:t>
      </w:r>
      <w:r>
        <w:rPr>
          <w:rFonts w:hint="eastAsia" w:ascii="宋体" w:hAnsi="宋体" w:cs="Arial"/>
          <w:szCs w:val="21"/>
        </w:rPr>
        <w:t>是正值且大于（不含等于）投标人报价中的利润额，则评标委员会将根据本章第</w:t>
      </w:r>
      <w:r>
        <w:rPr>
          <w:rFonts w:ascii="宋体" w:hAnsi="宋体" w:cs="Arial"/>
          <w:szCs w:val="21"/>
        </w:rPr>
        <w:t>3.3.5</w:t>
      </w:r>
      <w:r>
        <w:rPr>
          <w:rFonts w:hint="eastAsia" w:ascii="宋体" w:hAnsi="宋体" w:cs="Arial"/>
          <w:szCs w:val="21"/>
        </w:rPr>
        <w:t>项的规定认定该投标人以低于其成本报价竞标，其投标作否决处理。</w:t>
      </w:r>
    </w:p>
    <w:bookmarkEnd w:id="1354"/>
    <w:p>
      <w:pPr>
        <w:widowControl/>
        <w:jc w:val="left"/>
        <w:rPr>
          <w:rFonts w:ascii="宋体" w:hAnsi="宋体"/>
          <w:kern w:val="0"/>
          <w:sz w:val="24"/>
          <w:szCs w:val="20"/>
        </w:rPr>
      </w:pPr>
      <w:r>
        <w:br w:type="page"/>
      </w:r>
    </w:p>
    <w:p>
      <w:pPr>
        <w:pStyle w:val="155"/>
        <w:adjustRightInd w:val="0"/>
        <w:snapToGrid w:val="0"/>
        <w:spacing w:before="120" w:after="120"/>
        <w:jc w:val="left"/>
        <w:outlineLvl w:val="1"/>
        <w:rPr>
          <w:rFonts w:cs="Arial"/>
          <w:b/>
          <w:bCs/>
        </w:rPr>
      </w:pPr>
      <w:bookmarkStart w:id="1474" w:name="_Toc117350404"/>
      <w:r>
        <w:rPr>
          <w:rFonts w:hint="eastAsia"/>
        </w:rPr>
        <w:t>附件C：备选投标方案的评审</w:t>
      </w:r>
      <w:bookmarkEnd w:id="1355"/>
      <w:bookmarkEnd w:id="1356"/>
      <w:bookmarkEnd w:id="1357"/>
      <w:bookmarkEnd w:id="1358"/>
      <w:r>
        <w:rPr>
          <w:rFonts w:hint="eastAsia"/>
        </w:rPr>
        <w:t>和比较方法</w:t>
      </w:r>
      <w:bookmarkEnd w:id="1359"/>
      <w:bookmarkEnd w:id="1360"/>
      <w:bookmarkEnd w:id="1361"/>
      <w:bookmarkEnd w:id="1362"/>
      <w:bookmarkEnd w:id="1474"/>
    </w:p>
    <w:p>
      <w:pPr>
        <w:spacing w:line="360" w:lineRule="auto"/>
        <w:ind w:firstLine="602" w:firstLineChars="200"/>
        <w:jc w:val="center"/>
        <w:rPr>
          <w:rFonts w:ascii="宋体"/>
          <w:b/>
          <w:sz w:val="30"/>
          <w:szCs w:val="30"/>
        </w:rPr>
      </w:pPr>
      <w:r>
        <w:rPr>
          <w:rFonts w:hint="eastAsia" w:ascii="宋体" w:hAnsi="宋体"/>
          <w:b/>
          <w:sz w:val="30"/>
          <w:szCs w:val="30"/>
        </w:rPr>
        <w:t>备选投标方案的评审和比较方法</w:t>
      </w:r>
    </w:p>
    <w:p>
      <w:pPr>
        <w:spacing w:line="360" w:lineRule="auto"/>
        <w:rPr>
          <w:rFonts w:ascii="宋体" w:cs="Arial"/>
          <w:szCs w:val="21"/>
        </w:rPr>
      </w:pPr>
      <w:bookmarkStart w:id="1475" w:name="_Toc479499855"/>
      <w:bookmarkStart w:id="1476" w:name="_Toc429569261"/>
      <w:bookmarkStart w:id="1477" w:name="_Toc480140246"/>
      <w:bookmarkStart w:id="1478" w:name="_Toc480140489"/>
      <w:bookmarkStart w:id="1479" w:name="_Toc241459655"/>
      <w:bookmarkStart w:id="1480" w:name="_Toc342296258"/>
      <w:r>
        <w:rPr>
          <w:rFonts w:hint="eastAsia" w:ascii="宋体" w:cs="Arial"/>
          <w:szCs w:val="21"/>
        </w:rPr>
        <w:t>C</w:t>
      </w:r>
      <w:r>
        <w:rPr>
          <w:rFonts w:ascii="宋体" w:cs="Arial"/>
          <w:szCs w:val="21"/>
        </w:rPr>
        <w:t>0.</w:t>
      </w:r>
      <w:r>
        <w:rPr>
          <w:rFonts w:hint="eastAsia" w:ascii="宋体" w:hAnsi="宋体" w:cs="Arial"/>
          <w:szCs w:val="21"/>
        </w:rPr>
        <w:t>总</w:t>
      </w:r>
      <w:r>
        <w:rPr>
          <w:rFonts w:ascii="宋体" w:hAnsi="宋体" w:cs="Arial"/>
          <w:szCs w:val="21"/>
        </w:rPr>
        <w:t xml:space="preserve">  </w:t>
      </w:r>
      <w:r>
        <w:rPr>
          <w:rFonts w:hint="eastAsia" w:ascii="宋体" w:hAnsi="宋体" w:cs="Arial"/>
          <w:szCs w:val="21"/>
        </w:rPr>
        <w:t>则</w:t>
      </w:r>
      <w:bookmarkEnd w:id="1475"/>
      <w:bookmarkEnd w:id="1476"/>
      <w:bookmarkEnd w:id="1477"/>
      <w:bookmarkEnd w:id="1478"/>
    </w:p>
    <w:p>
      <w:pPr>
        <w:spacing w:line="360" w:lineRule="auto"/>
        <w:ind w:firstLine="359" w:firstLineChars="171"/>
        <w:rPr>
          <w:rFonts w:ascii="宋体"/>
        </w:rPr>
      </w:pPr>
      <w:r>
        <w:rPr>
          <w:rFonts w:hint="eastAsia" w:ascii="宋体" w:hAnsi="宋体" w:cs="Arial"/>
          <w:szCs w:val="21"/>
        </w:rPr>
        <w:t>本附件是本章“评标办法”的组成部分。当第二章</w:t>
      </w:r>
      <w:r>
        <w:rPr>
          <w:rFonts w:hint="eastAsia" w:ascii="宋体" w:hAnsi="宋体"/>
        </w:rPr>
        <w:t>“投标人须知”第</w:t>
      </w:r>
      <w:r>
        <w:rPr>
          <w:rFonts w:ascii="宋体" w:hAnsi="宋体"/>
        </w:rPr>
        <w:t>3.6</w:t>
      </w:r>
      <w:r>
        <w:rPr>
          <w:rFonts w:hint="eastAsia" w:ascii="宋体" w:hAnsi="宋体"/>
        </w:rPr>
        <w:t>款中规定允许投标人递交备选投标方案时，评标委员会应当按照本附件所规定的办法对排名第一的中标候选人或者根据招标人授权直接确定的中标人所递交的备选投标方案进行评审和比较。</w:t>
      </w:r>
    </w:p>
    <w:p>
      <w:pPr>
        <w:spacing w:line="360" w:lineRule="auto"/>
        <w:ind w:firstLine="359" w:firstLineChars="171"/>
        <w:rPr>
          <w:rFonts w:ascii="宋体"/>
        </w:rPr>
      </w:pPr>
    </w:p>
    <w:p>
      <w:pPr>
        <w:spacing w:line="360" w:lineRule="auto"/>
        <w:rPr>
          <w:rFonts w:ascii="宋体"/>
        </w:rPr>
      </w:pPr>
      <w:bookmarkStart w:id="1481" w:name="_Toc429569262"/>
      <w:bookmarkStart w:id="1482" w:name="_Toc480140490"/>
      <w:bookmarkStart w:id="1483" w:name="_Toc479499856"/>
      <w:bookmarkStart w:id="1484" w:name="_Toc480140247"/>
      <w:r>
        <w:rPr>
          <w:rFonts w:hint="eastAsia" w:ascii="宋体" w:hAnsi="宋体"/>
        </w:rPr>
        <w:t>C</w:t>
      </w:r>
      <w:r>
        <w:rPr>
          <w:rFonts w:ascii="宋体" w:hAnsi="宋体"/>
        </w:rPr>
        <w:t>1.</w:t>
      </w:r>
      <w:r>
        <w:rPr>
          <w:rFonts w:hint="eastAsia" w:ascii="宋体" w:hAnsi="宋体"/>
        </w:rPr>
        <w:t>备选投标方案的评审规定</w:t>
      </w:r>
      <w:bookmarkEnd w:id="1481"/>
      <w:bookmarkEnd w:id="1482"/>
      <w:bookmarkEnd w:id="1483"/>
      <w:bookmarkEnd w:id="1484"/>
    </w:p>
    <w:p>
      <w:pPr>
        <w:spacing w:line="360" w:lineRule="auto"/>
        <w:ind w:firstLine="359" w:firstLineChars="171"/>
        <w:rPr>
          <w:rFonts w:ascii="宋体"/>
        </w:rPr>
      </w:pPr>
      <w:r>
        <w:rPr>
          <w:rFonts w:hint="eastAsia" w:ascii="宋体" w:hAnsi="宋体"/>
        </w:rPr>
        <w:t>备选投标方案的评审规定</w:t>
      </w:r>
      <w:r>
        <w:rPr>
          <w:rFonts w:hint="eastAsia" w:ascii="黑体" w:hAnsi="黑体" w:eastAsia="黑体" w:cs="Arial"/>
          <w:szCs w:val="21"/>
        </w:rPr>
        <w:t>见评标办法专用部分</w:t>
      </w:r>
      <w:r>
        <w:rPr>
          <w:rFonts w:hint="eastAsia" w:ascii="宋体" w:hAnsi="宋体"/>
        </w:rPr>
        <w:t>。</w:t>
      </w:r>
    </w:p>
    <w:p>
      <w:pPr>
        <w:spacing w:line="360" w:lineRule="auto"/>
        <w:ind w:firstLine="359" w:firstLineChars="171"/>
        <w:rPr>
          <w:rFonts w:ascii="宋体"/>
        </w:rPr>
      </w:pPr>
    </w:p>
    <w:p>
      <w:pPr>
        <w:spacing w:line="360" w:lineRule="auto"/>
        <w:ind w:firstLine="359" w:firstLineChars="171"/>
        <w:rPr>
          <w:rFonts w:ascii="宋体"/>
        </w:rPr>
      </w:pPr>
    </w:p>
    <w:p>
      <w:pPr>
        <w:spacing w:line="360" w:lineRule="auto"/>
        <w:ind w:firstLine="359" w:firstLineChars="171"/>
        <w:rPr>
          <w:rFonts w:ascii="宋体"/>
        </w:rPr>
        <w:sectPr>
          <w:headerReference r:id="rId20" w:type="default"/>
          <w:pgSz w:w="11906" w:h="16838"/>
          <w:pgMar w:top="1440" w:right="1797" w:bottom="1440" w:left="1797" w:header="851" w:footer="992" w:gutter="0"/>
          <w:cols w:space="720" w:num="1"/>
          <w:docGrid w:linePitch="286" w:charSpace="0"/>
        </w:sectPr>
      </w:pPr>
      <w:r>
        <w:rPr>
          <w:rFonts w:ascii="宋体"/>
        </w:rPr>
        <w:br w:type="page"/>
      </w:r>
    </w:p>
    <w:p>
      <w:pPr>
        <w:spacing w:line="360" w:lineRule="auto"/>
        <w:ind w:firstLine="359" w:firstLineChars="171"/>
        <w:rPr>
          <w:rFonts w:ascii="宋体"/>
        </w:rPr>
      </w:pPr>
    </w:p>
    <w:p>
      <w:pPr>
        <w:spacing w:line="360" w:lineRule="auto"/>
        <w:ind w:firstLine="359" w:firstLineChars="171"/>
        <w:rPr>
          <w:rFonts w:ascii="宋体"/>
        </w:rPr>
        <w:sectPr>
          <w:pgSz w:w="11906" w:h="16838"/>
          <w:pgMar w:top="1440" w:right="1797" w:bottom="1440" w:left="1797" w:header="851" w:footer="992" w:gutter="0"/>
          <w:cols w:space="720" w:num="1"/>
          <w:docGrid w:linePitch="286" w:charSpace="0"/>
        </w:sectPr>
      </w:pPr>
    </w:p>
    <w:bookmarkEnd w:id="1479"/>
    <w:bookmarkEnd w:id="1480"/>
    <w:p>
      <w:pPr>
        <w:pStyle w:val="39"/>
        <w:spacing w:before="3600" w:beforeLines="1500"/>
      </w:pPr>
      <w:bookmarkStart w:id="1485" w:name="_Toc117350405"/>
      <w:bookmarkStart w:id="1486" w:name="_Toc490222485"/>
      <w:bookmarkStart w:id="1487" w:name="_Toc486580040"/>
      <w:bookmarkStart w:id="1488" w:name="_Toc489279852"/>
      <w:r>
        <w:rPr>
          <w:rFonts w:hint="eastAsia"/>
        </w:rPr>
        <w:t>第四章</w:t>
      </w:r>
      <w:r>
        <w:t xml:space="preserve">  </w:t>
      </w:r>
      <w:r>
        <w:rPr>
          <w:rFonts w:hint="eastAsia"/>
        </w:rPr>
        <w:t>合同条款通用部分</w:t>
      </w:r>
      <w:bookmarkEnd w:id="1485"/>
      <w:bookmarkEnd w:id="1486"/>
      <w:bookmarkEnd w:id="1487"/>
      <w:bookmarkEnd w:id="1488"/>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spacing w:line="360" w:lineRule="auto"/>
        <w:rPr>
          <w:rFonts w:ascii="宋体"/>
        </w:rPr>
      </w:pPr>
      <w:r>
        <w:rPr>
          <w:rFonts w:ascii="宋体"/>
        </w:rPr>
        <w:br w:type="page"/>
      </w:r>
    </w:p>
    <w:p>
      <w:pPr>
        <w:spacing w:line="360" w:lineRule="auto"/>
        <w:rPr>
          <w:sz w:val="24"/>
        </w:rPr>
      </w:pPr>
    </w:p>
    <w:p>
      <w:pPr>
        <w:rPr>
          <w:sz w:val="24"/>
        </w:rPr>
      </w:pPr>
    </w:p>
    <w:p>
      <w:pPr>
        <w:spacing w:line="360" w:lineRule="auto"/>
        <w:rPr>
          <w:rFonts w:ascii="宋体"/>
          <w:sz w:val="24"/>
        </w:rPr>
      </w:pPr>
    </w:p>
    <w:p>
      <w:pPr>
        <w:spacing w:line="360" w:lineRule="auto"/>
        <w:rPr>
          <w:rFonts w:ascii="宋体"/>
        </w:rPr>
      </w:pPr>
    </w:p>
    <w:p>
      <w:pPr>
        <w:spacing w:line="360" w:lineRule="auto"/>
        <w:jc w:val="right"/>
        <w:rPr>
          <w:rFonts w:ascii="宋体"/>
        </w:rPr>
      </w:pPr>
    </w:p>
    <w:p>
      <w:pPr>
        <w:spacing w:line="360" w:lineRule="auto"/>
        <w:rPr>
          <w:rFonts w:ascii="宋体"/>
        </w:rPr>
      </w:pPr>
    </w:p>
    <w:p>
      <w:pPr>
        <w:rPr>
          <w:rFonts w:ascii="宋体"/>
        </w:rPr>
      </w:pPr>
      <w:bookmarkStart w:id="1489" w:name="_Toc152042389"/>
      <w:bookmarkStart w:id="1490" w:name="_Toc144974579"/>
      <w:bookmarkStart w:id="1491" w:name="_Toc152045611"/>
      <w:bookmarkStart w:id="1492" w:name="_Toc179632629"/>
      <w:r>
        <w:rPr>
          <w:rFonts w:ascii="宋体"/>
        </w:rPr>
        <w:br w:type="page"/>
      </w:r>
    </w:p>
    <w:p>
      <w:pPr>
        <w:jc w:val="center"/>
        <w:rPr>
          <w:b/>
          <w:szCs w:val="21"/>
        </w:rPr>
      </w:pPr>
      <w:bookmarkStart w:id="1493" w:name="_Toc497235273"/>
      <w:bookmarkStart w:id="1494" w:name="_Toc490222486"/>
      <w:bookmarkStart w:id="1495" w:name="_Toc486580041"/>
    </w:p>
    <w:p>
      <w:pPr>
        <w:jc w:val="center"/>
        <w:rPr>
          <w:b/>
          <w:sz w:val="32"/>
          <w:szCs w:val="32"/>
        </w:rPr>
      </w:pPr>
      <w:r>
        <w:rPr>
          <w:rFonts w:hint="eastAsia"/>
          <w:b/>
          <w:sz w:val="32"/>
          <w:szCs w:val="32"/>
        </w:rPr>
        <w:t>第四章</w:t>
      </w:r>
      <w:r>
        <w:rPr>
          <w:b/>
          <w:sz w:val="32"/>
          <w:szCs w:val="32"/>
        </w:rPr>
        <w:t xml:space="preserve"> </w:t>
      </w:r>
      <w:r>
        <w:rPr>
          <w:rFonts w:hint="eastAsia"/>
          <w:b/>
          <w:sz w:val="32"/>
          <w:szCs w:val="32"/>
        </w:rPr>
        <w:t>合同条款通用部分</w:t>
      </w:r>
      <w:bookmarkEnd w:id="1493"/>
      <w:bookmarkEnd w:id="1494"/>
      <w:bookmarkEnd w:id="1495"/>
    </w:p>
    <w:p>
      <w:pPr>
        <w:spacing w:line="360" w:lineRule="auto"/>
        <w:jc w:val="center"/>
        <w:rPr>
          <w:rFonts w:ascii="黑体" w:hAnsi="黑体" w:eastAsia="黑体"/>
          <w:sz w:val="28"/>
          <w:szCs w:val="28"/>
        </w:rPr>
      </w:pPr>
    </w:p>
    <w:p>
      <w:pPr>
        <w:pStyle w:val="144"/>
        <w:spacing w:before="120" w:after="120"/>
      </w:pPr>
      <w:bookmarkStart w:id="1496" w:name="_Toc490222487"/>
      <w:bookmarkStart w:id="1497" w:name="_Toc480486724"/>
      <w:bookmarkStart w:id="1498" w:name="_Toc483668071"/>
      <w:bookmarkStart w:id="1499" w:name="_Toc342296262"/>
      <w:bookmarkStart w:id="1500" w:name="_Toc489279853"/>
      <w:bookmarkStart w:id="1501" w:name="_Toc480486894"/>
      <w:bookmarkStart w:id="1502" w:name="_Toc338944704"/>
      <w:bookmarkStart w:id="1503" w:name="_Toc486580042"/>
      <w:bookmarkStart w:id="1504" w:name="_Toc117350406"/>
      <w:r>
        <w:t>1.</w:t>
      </w:r>
      <w:r>
        <w:rPr>
          <w:rFonts w:hint="eastAsia"/>
        </w:rPr>
        <w:t>一般约定</w:t>
      </w:r>
      <w:bookmarkEnd w:id="1496"/>
      <w:bookmarkEnd w:id="1497"/>
      <w:bookmarkEnd w:id="1498"/>
      <w:bookmarkEnd w:id="1499"/>
      <w:bookmarkEnd w:id="1500"/>
      <w:bookmarkEnd w:id="1501"/>
      <w:bookmarkEnd w:id="1502"/>
      <w:bookmarkEnd w:id="1503"/>
      <w:bookmarkEnd w:id="1504"/>
    </w:p>
    <w:p>
      <w:pPr>
        <w:pStyle w:val="155"/>
        <w:spacing w:before="120" w:after="120"/>
      </w:pPr>
      <w:bookmarkStart w:id="1505" w:name="_Toc483668072"/>
      <w:bookmarkStart w:id="1506" w:name="_Toc117350407"/>
      <w:bookmarkStart w:id="1507" w:name="_Toc489279854"/>
      <w:bookmarkStart w:id="1508" w:name="_Toc342296263"/>
      <w:bookmarkStart w:id="1509" w:name="_Toc486580043"/>
      <w:bookmarkStart w:id="1510" w:name="_Toc480486895"/>
      <w:bookmarkStart w:id="1511" w:name="_Toc490222488"/>
      <w:bookmarkStart w:id="1512" w:name="_Toc338944705"/>
      <w:bookmarkStart w:id="1513" w:name="_Toc480486725"/>
      <w:r>
        <w:t xml:space="preserve">1.1  </w:t>
      </w:r>
      <w:r>
        <w:rPr>
          <w:rFonts w:hint="eastAsia"/>
        </w:rPr>
        <w:t>词语定义</w:t>
      </w:r>
      <w:bookmarkEnd w:id="1505"/>
      <w:bookmarkEnd w:id="1506"/>
      <w:bookmarkEnd w:id="1507"/>
      <w:bookmarkEnd w:id="1508"/>
      <w:bookmarkEnd w:id="1509"/>
      <w:bookmarkEnd w:id="1510"/>
      <w:bookmarkEnd w:id="1511"/>
      <w:bookmarkEnd w:id="1512"/>
      <w:bookmarkEnd w:id="1513"/>
    </w:p>
    <w:p>
      <w:pPr>
        <w:spacing w:line="360" w:lineRule="auto"/>
        <w:ind w:firstLine="420" w:firstLineChars="200"/>
        <w:rPr>
          <w:rFonts w:ascii="宋体"/>
        </w:rPr>
      </w:pPr>
      <w:r>
        <w:rPr>
          <w:rFonts w:hint="eastAsia" w:ascii="宋体" w:hAnsi="宋体"/>
        </w:rPr>
        <w:t>合同条款通用部分、合同条款专用部分中的下列词语应具有本款所赋予的含义。</w:t>
      </w:r>
    </w:p>
    <w:p>
      <w:pPr>
        <w:spacing w:line="360" w:lineRule="auto"/>
        <w:ind w:firstLine="420" w:firstLineChars="200"/>
        <w:rPr>
          <w:rFonts w:ascii="宋体"/>
        </w:rPr>
      </w:pPr>
      <w:bookmarkStart w:id="1514" w:name="_Toc480486896"/>
      <w:r>
        <w:rPr>
          <w:rFonts w:ascii="宋体" w:hAnsi="宋体"/>
        </w:rPr>
        <w:t xml:space="preserve">1.1.1  </w:t>
      </w:r>
      <w:r>
        <w:rPr>
          <w:rFonts w:hint="eastAsia" w:ascii="宋体" w:hAnsi="宋体"/>
        </w:rPr>
        <w:t>合同</w:t>
      </w:r>
      <w:bookmarkEnd w:id="1514"/>
    </w:p>
    <w:p>
      <w:pPr>
        <w:spacing w:line="360" w:lineRule="auto"/>
        <w:ind w:firstLine="630" w:firstLineChars="300"/>
        <w:rPr>
          <w:rFonts w:ascii="宋体"/>
        </w:rPr>
      </w:pPr>
      <w:r>
        <w:rPr>
          <w:rFonts w:ascii="宋体" w:hAnsi="宋体"/>
        </w:rPr>
        <w:t xml:space="preserve">1.1.1.1  </w:t>
      </w:r>
      <w:r>
        <w:rPr>
          <w:rFonts w:hint="eastAsia" w:ascii="宋体" w:hAnsi="宋体"/>
        </w:rPr>
        <w:t>合同文件（或称合同）：指合同协议书、中标通知书、投标函及投标函附录、合同条款专用部分、合同条款通用部分、技术标准和要求、图纸、已标价工程量清单，以及其他合同文件。</w:t>
      </w:r>
    </w:p>
    <w:p>
      <w:pPr>
        <w:spacing w:line="360" w:lineRule="auto"/>
        <w:ind w:firstLine="630" w:firstLineChars="300"/>
        <w:rPr>
          <w:rFonts w:ascii="宋体"/>
        </w:rPr>
      </w:pPr>
      <w:r>
        <w:rPr>
          <w:rFonts w:ascii="宋体" w:hAnsi="宋体"/>
        </w:rPr>
        <w:t xml:space="preserve">1.1.1.2  </w:t>
      </w:r>
      <w:r>
        <w:rPr>
          <w:rFonts w:hint="eastAsia" w:ascii="宋体" w:hAnsi="宋体"/>
        </w:rPr>
        <w:t>合同协议书：指第</w:t>
      </w:r>
      <w:r>
        <w:rPr>
          <w:rFonts w:ascii="宋体" w:hAnsi="宋体"/>
        </w:rPr>
        <w:t>1.5</w:t>
      </w:r>
      <w:r>
        <w:rPr>
          <w:rFonts w:hint="eastAsia" w:ascii="宋体" w:hAnsi="宋体"/>
        </w:rPr>
        <w:t>款所指的合同协议书。</w:t>
      </w:r>
    </w:p>
    <w:p>
      <w:pPr>
        <w:spacing w:line="360" w:lineRule="auto"/>
        <w:ind w:firstLine="630" w:firstLineChars="300"/>
        <w:rPr>
          <w:rFonts w:ascii="宋体"/>
        </w:rPr>
      </w:pPr>
      <w:r>
        <w:rPr>
          <w:rFonts w:ascii="宋体" w:hAnsi="宋体"/>
        </w:rPr>
        <w:t xml:space="preserve">1.1.1.3  </w:t>
      </w:r>
      <w:r>
        <w:rPr>
          <w:rFonts w:hint="eastAsia" w:ascii="宋体" w:hAnsi="宋体"/>
        </w:rPr>
        <w:t>中标通知书：指发包人通知承包人中标的函件。</w:t>
      </w:r>
    </w:p>
    <w:p>
      <w:pPr>
        <w:spacing w:line="360" w:lineRule="auto"/>
        <w:ind w:firstLine="630" w:firstLineChars="300"/>
        <w:rPr>
          <w:rFonts w:ascii="宋体"/>
        </w:rPr>
      </w:pPr>
      <w:r>
        <w:rPr>
          <w:rFonts w:ascii="宋体" w:hAnsi="宋体"/>
        </w:rPr>
        <w:t xml:space="preserve">1.1.1.4  </w:t>
      </w:r>
      <w:r>
        <w:rPr>
          <w:rFonts w:hint="eastAsia" w:ascii="宋体" w:hAnsi="宋体"/>
        </w:rPr>
        <w:t>投标函：指构成合同文件组成部分的由承包人填写并签署的投标函。</w:t>
      </w:r>
    </w:p>
    <w:p>
      <w:pPr>
        <w:spacing w:line="360" w:lineRule="auto"/>
        <w:ind w:firstLine="630" w:firstLineChars="300"/>
        <w:rPr>
          <w:rFonts w:ascii="宋体"/>
        </w:rPr>
      </w:pPr>
      <w:r>
        <w:rPr>
          <w:rFonts w:ascii="宋体" w:hAnsi="宋体"/>
        </w:rPr>
        <w:t xml:space="preserve">1.1.1.5  </w:t>
      </w:r>
      <w:r>
        <w:rPr>
          <w:rFonts w:hint="eastAsia" w:ascii="宋体" w:hAnsi="宋体"/>
        </w:rPr>
        <w:t>投标函附录：指附在投标函后构成合同文件的投标函附录。</w:t>
      </w:r>
    </w:p>
    <w:p>
      <w:pPr>
        <w:spacing w:line="360" w:lineRule="auto"/>
        <w:ind w:firstLine="630" w:firstLineChars="300"/>
        <w:rPr>
          <w:rFonts w:ascii="宋体"/>
        </w:rPr>
      </w:pPr>
      <w:r>
        <w:rPr>
          <w:rFonts w:ascii="宋体" w:hAnsi="宋体"/>
        </w:rPr>
        <w:t xml:space="preserve">1.1.1.6  </w:t>
      </w:r>
      <w:r>
        <w:rPr>
          <w:rFonts w:hint="eastAsia" w:ascii="宋体" w:hAnsi="宋体"/>
        </w:rPr>
        <w:t>合同条款：指构成合同文件组成部分的合同条款通用部分和（或）合同条款专用部分。</w:t>
      </w:r>
    </w:p>
    <w:p>
      <w:pPr>
        <w:spacing w:line="360" w:lineRule="auto"/>
        <w:ind w:firstLine="630" w:firstLineChars="300"/>
        <w:rPr>
          <w:rFonts w:ascii="宋体"/>
        </w:rPr>
      </w:pPr>
      <w:r>
        <w:rPr>
          <w:rFonts w:ascii="宋体" w:hAnsi="宋体"/>
        </w:rPr>
        <w:t xml:space="preserve">1.1.1.7  </w:t>
      </w:r>
      <w:r>
        <w:rPr>
          <w:rFonts w:hint="eastAsia" w:ascii="宋体" w:hAnsi="宋体"/>
        </w:rPr>
        <w:t>技术标准和要求：指构成合同文件组成部分的名为技术标准和要求的文件，包括合同双方当事人约定对其所作的修改或补充。</w:t>
      </w:r>
    </w:p>
    <w:p>
      <w:pPr>
        <w:spacing w:line="360" w:lineRule="auto"/>
        <w:ind w:firstLine="630" w:firstLineChars="300"/>
        <w:rPr>
          <w:rFonts w:ascii="宋体"/>
        </w:rPr>
      </w:pPr>
      <w:r>
        <w:rPr>
          <w:rFonts w:ascii="宋体" w:hAnsi="宋体"/>
        </w:rPr>
        <w:t xml:space="preserve">1.1.1.8  </w:t>
      </w:r>
      <w:r>
        <w:rPr>
          <w:rFonts w:hint="eastAsia" w:ascii="宋体" w:hAnsi="宋体"/>
        </w:rPr>
        <w:t>图纸：指包含在合同中的工程图纸，以及由发包人按合同约定提供的任何补充和修改的图纸，包括配套的说明。</w:t>
      </w:r>
    </w:p>
    <w:p>
      <w:pPr>
        <w:spacing w:line="360" w:lineRule="auto"/>
        <w:ind w:firstLine="630" w:firstLineChars="300"/>
        <w:rPr>
          <w:rFonts w:ascii="宋体"/>
        </w:rPr>
      </w:pPr>
      <w:r>
        <w:rPr>
          <w:rFonts w:ascii="宋体" w:hAnsi="宋体"/>
        </w:rPr>
        <w:t xml:space="preserve">1.1.1.9  </w:t>
      </w:r>
      <w:r>
        <w:rPr>
          <w:rFonts w:hint="eastAsia" w:ascii="宋体" w:hAnsi="宋体"/>
        </w:rPr>
        <w:t>已标价工程量清单：指构成合同文件组成部分的由承包人按照规定的格式和要求填写并标明价格的工程量清单。</w:t>
      </w:r>
    </w:p>
    <w:p>
      <w:pPr>
        <w:spacing w:line="360" w:lineRule="auto"/>
        <w:ind w:firstLine="630" w:firstLineChars="300"/>
        <w:rPr>
          <w:rFonts w:ascii="宋体"/>
        </w:rPr>
      </w:pPr>
      <w:r>
        <w:rPr>
          <w:rFonts w:ascii="宋体" w:hAnsi="宋体"/>
        </w:rPr>
        <w:t xml:space="preserve">1.1.1.10  </w:t>
      </w:r>
      <w:r>
        <w:rPr>
          <w:rFonts w:hint="eastAsia" w:ascii="宋体" w:hAnsi="宋体"/>
        </w:rPr>
        <w:t>其他合同文件：指经合同双方当事人确认构成合同文件的其他文件。</w:t>
      </w:r>
    </w:p>
    <w:p>
      <w:pPr>
        <w:spacing w:line="360" w:lineRule="auto"/>
        <w:ind w:firstLine="420" w:firstLineChars="200"/>
        <w:rPr>
          <w:rFonts w:ascii="宋体"/>
        </w:rPr>
      </w:pPr>
      <w:bookmarkStart w:id="1515" w:name="_Toc480486897"/>
      <w:r>
        <w:rPr>
          <w:rFonts w:ascii="宋体" w:hAnsi="宋体"/>
        </w:rPr>
        <w:t xml:space="preserve">1.1.2  </w:t>
      </w:r>
      <w:r>
        <w:rPr>
          <w:rFonts w:hint="eastAsia" w:ascii="宋体" w:hAnsi="宋体"/>
        </w:rPr>
        <w:t>合同当事人和人员</w:t>
      </w:r>
      <w:bookmarkEnd w:id="1515"/>
    </w:p>
    <w:p>
      <w:pPr>
        <w:spacing w:line="360" w:lineRule="auto"/>
        <w:ind w:firstLine="630" w:firstLineChars="300"/>
        <w:rPr>
          <w:rFonts w:ascii="宋体"/>
        </w:rPr>
      </w:pPr>
      <w:r>
        <w:rPr>
          <w:rFonts w:ascii="宋体" w:hAnsi="宋体"/>
        </w:rPr>
        <w:t xml:space="preserve">1.1.2.1  </w:t>
      </w:r>
      <w:r>
        <w:rPr>
          <w:rFonts w:hint="eastAsia" w:ascii="宋体" w:hAnsi="宋体"/>
        </w:rPr>
        <w:t>合同当事人：指发包人和（或）承包人。</w:t>
      </w:r>
    </w:p>
    <w:p>
      <w:pPr>
        <w:spacing w:line="360" w:lineRule="auto"/>
        <w:ind w:firstLine="630" w:firstLineChars="300"/>
        <w:rPr>
          <w:rFonts w:ascii="宋体"/>
        </w:rPr>
      </w:pPr>
      <w:r>
        <w:rPr>
          <w:rFonts w:ascii="宋体" w:hAnsi="宋体"/>
        </w:rPr>
        <w:t xml:space="preserve">1.1.2.2  </w:t>
      </w:r>
      <w:r>
        <w:rPr>
          <w:rFonts w:hint="eastAsia" w:ascii="宋体" w:hAnsi="宋体"/>
        </w:rPr>
        <w:t>发包人：指合同协议书中约定，具有工程发包主体资格和承诺按照合同约定的条件、期限和方式向承包人支付工程价款的当事人，以及取得该当事人资格的合法继承人。发包人名称</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1.1.2.3  </w:t>
      </w:r>
      <w:r>
        <w:rPr>
          <w:rFonts w:hint="eastAsia" w:ascii="宋体" w:hAnsi="宋体"/>
        </w:rPr>
        <w:t>承包人：指合同协议书中约定，具有合同工程承包主体资格，并承诺按照合同约定进行施工、竣工、交付并承担质量缺陷保修责任的当事人，以及取得该当事人资格的合法继承人。承包人名称</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1.1.2.4  </w:t>
      </w:r>
      <w:r>
        <w:rPr>
          <w:rFonts w:hint="eastAsia" w:ascii="宋体" w:hAnsi="宋体"/>
        </w:rPr>
        <w:t>承包人项目经理：指承包人派驻施工场地的全权负责人。</w:t>
      </w:r>
    </w:p>
    <w:p>
      <w:pPr>
        <w:spacing w:line="360" w:lineRule="auto"/>
        <w:ind w:firstLine="630" w:firstLineChars="300"/>
        <w:rPr>
          <w:rFonts w:ascii="宋体"/>
        </w:rPr>
      </w:pPr>
      <w:r>
        <w:rPr>
          <w:rFonts w:ascii="宋体" w:hAnsi="宋体"/>
        </w:rPr>
        <w:t xml:space="preserve">1.1.2.5  </w:t>
      </w:r>
      <w:r>
        <w:rPr>
          <w:rFonts w:hint="eastAsia" w:ascii="宋体" w:hAnsi="宋体"/>
        </w:rPr>
        <w:t>分包人：指从承包人处分包合同中某一部分工程，并与其签订分包合同的分包人。</w:t>
      </w:r>
    </w:p>
    <w:p>
      <w:pPr>
        <w:spacing w:line="360" w:lineRule="auto"/>
        <w:ind w:firstLine="630" w:firstLineChars="300"/>
        <w:rPr>
          <w:rFonts w:ascii="宋体"/>
        </w:rPr>
      </w:pPr>
      <w:r>
        <w:rPr>
          <w:rFonts w:ascii="宋体" w:hAnsi="宋体"/>
        </w:rPr>
        <w:t xml:space="preserve">1.1.2.6  </w:t>
      </w:r>
      <w:r>
        <w:rPr>
          <w:rFonts w:hint="eastAsia" w:ascii="宋体" w:hAnsi="宋体"/>
        </w:rPr>
        <w:t>监理人：指发包人委托的对合同履行实施管理的法人或其他组织。监理人名称</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1.1.2.7  </w:t>
      </w:r>
      <w:r>
        <w:rPr>
          <w:rFonts w:hint="eastAsia" w:ascii="宋体" w:hAnsi="宋体"/>
        </w:rPr>
        <w:t>总监理工程师（总监）：指由监理人委派常驻施工场地对合同履行实施管理的全权负责人。</w:t>
      </w:r>
    </w:p>
    <w:p>
      <w:pPr>
        <w:spacing w:line="360" w:lineRule="auto"/>
        <w:ind w:firstLine="630" w:firstLineChars="300"/>
        <w:rPr>
          <w:rFonts w:ascii="宋体"/>
        </w:rPr>
      </w:pPr>
      <w:r>
        <w:rPr>
          <w:rFonts w:ascii="宋体" w:hAnsi="宋体"/>
        </w:rPr>
        <w:t xml:space="preserve">1.1.2.8  </w:t>
      </w:r>
      <w:r>
        <w:rPr>
          <w:rFonts w:hint="eastAsia" w:ascii="宋体" w:hAnsi="宋体"/>
        </w:rPr>
        <w:t>发包人代表：指由发包人指定的派驻施工场地（现场）的全权代表。发包人代表相关信息</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1.1.2.9  </w:t>
      </w:r>
      <w:r>
        <w:rPr>
          <w:rFonts w:hint="eastAsia" w:ascii="宋体" w:hAnsi="宋体"/>
        </w:rPr>
        <w:t>专业分包人：指根据合同条款第</w:t>
      </w:r>
      <w:r>
        <w:rPr>
          <w:rFonts w:ascii="宋体" w:hAnsi="宋体"/>
        </w:rPr>
        <w:t>15.8.1</w:t>
      </w:r>
      <w:r>
        <w:rPr>
          <w:rFonts w:hint="eastAsia" w:ascii="宋体" w:hAnsi="宋体"/>
        </w:rPr>
        <w:t>项的约定，由发包人和承包人以招标方式选择的分包人。</w:t>
      </w:r>
    </w:p>
    <w:p>
      <w:pPr>
        <w:spacing w:line="360" w:lineRule="auto"/>
        <w:ind w:firstLine="630" w:firstLineChars="300"/>
        <w:rPr>
          <w:rFonts w:ascii="宋体"/>
        </w:rPr>
      </w:pPr>
      <w:r>
        <w:rPr>
          <w:rFonts w:ascii="宋体" w:hAnsi="宋体"/>
        </w:rPr>
        <w:t xml:space="preserve">1.1.2.10  </w:t>
      </w:r>
      <w:r>
        <w:rPr>
          <w:rFonts w:hint="eastAsia" w:ascii="宋体" w:hAnsi="宋体"/>
        </w:rPr>
        <w:t>专项供应商：指根据合同条款第</w:t>
      </w:r>
      <w:r>
        <w:rPr>
          <w:rFonts w:ascii="宋体" w:hAnsi="宋体"/>
        </w:rPr>
        <w:t>15.8.1</w:t>
      </w:r>
      <w:r>
        <w:rPr>
          <w:rFonts w:hint="eastAsia" w:ascii="宋体" w:hAnsi="宋体"/>
        </w:rPr>
        <w:t>项的约定，由发包人和承包人以招标方式选择的供应商。</w:t>
      </w:r>
    </w:p>
    <w:p>
      <w:pPr>
        <w:spacing w:line="360" w:lineRule="auto"/>
        <w:ind w:firstLine="630" w:firstLineChars="300"/>
        <w:rPr>
          <w:rFonts w:ascii="宋体"/>
        </w:rPr>
      </w:pPr>
      <w:r>
        <w:rPr>
          <w:rFonts w:ascii="宋体" w:hAnsi="宋体"/>
        </w:rPr>
        <w:t xml:space="preserve">1.1.2.11  </w:t>
      </w:r>
      <w:r>
        <w:rPr>
          <w:rFonts w:hint="eastAsia" w:ascii="宋体" w:hAnsi="宋体"/>
        </w:rPr>
        <w:t>独立承包人：指与发包人直接订立工程承包合同，负责实施与工程有关的其他工作的当事人。</w:t>
      </w:r>
    </w:p>
    <w:p>
      <w:pPr>
        <w:spacing w:line="360" w:lineRule="auto"/>
        <w:ind w:firstLine="420" w:firstLineChars="200"/>
        <w:rPr>
          <w:rFonts w:ascii="宋体"/>
        </w:rPr>
      </w:pPr>
      <w:r>
        <w:rPr>
          <w:rFonts w:ascii="宋体" w:hAnsi="宋体"/>
        </w:rPr>
        <w:t xml:space="preserve">1.1.3  </w:t>
      </w:r>
      <w:r>
        <w:rPr>
          <w:rFonts w:hint="eastAsia" w:ascii="宋体" w:hAnsi="宋体"/>
        </w:rPr>
        <w:t>工程和设备</w:t>
      </w:r>
    </w:p>
    <w:p>
      <w:pPr>
        <w:spacing w:line="360" w:lineRule="auto"/>
        <w:ind w:firstLine="630" w:firstLineChars="300"/>
        <w:rPr>
          <w:rFonts w:ascii="宋体"/>
        </w:rPr>
      </w:pPr>
      <w:r>
        <w:rPr>
          <w:rFonts w:ascii="宋体" w:hAnsi="宋体"/>
        </w:rPr>
        <w:t xml:space="preserve">1.1.3.1  </w:t>
      </w:r>
      <w:r>
        <w:rPr>
          <w:rFonts w:hint="eastAsia" w:ascii="宋体" w:hAnsi="宋体"/>
        </w:rPr>
        <w:t>工程：指永久工程和（或）临时工程。</w:t>
      </w:r>
    </w:p>
    <w:p>
      <w:pPr>
        <w:spacing w:line="360" w:lineRule="auto"/>
        <w:ind w:firstLine="630" w:firstLineChars="300"/>
        <w:rPr>
          <w:rFonts w:ascii="宋体"/>
        </w:rPr>
      </w:pPr>
      <w:r>
        <w:rPr>
          <w:rFonts w:ascii="宋体" w:hAnsi="宋体"/>
        </w:rPr>
        <w:t xml:space="preserve">1.1.3.2  </w:t>
      </w:r>
      <w:r>
        <w:rPr>
          <w:rFonts w:hint="eastAsia" w:ascii="宋体" w:hAnsi="宋体"/>
        </w:rPr>
        <w:t>永久工程：指按照合同约定所需建造、完成并移交给发包人的工程，包括工程设备。永久工程的约定</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1.1.3.3  </w:t>
      </w:r>
      <w:r>
        <w:rPr>
          <w:rFonts w:hint="eastAsia" w:ascii="宋体" w:hAnsi="宋体"/>
        </w:rPr>
        <w:t>临时工程：指为完成合同约定的永久工程所修建的各类临时性工程，不包括施工设备。临时工程的约定</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1.1.3.4  </w:t>
      </w:r>
      <w:r>
        <w:rPr>
          <w:rFonts w:hint="eastAsia" w:ascii="宋体" w:hAnsi="宋体"/>
        </w:rPr>
        <w:t>单位工程：指具有相对独立的设计文件，能够独立组织施工并能形成独立使用功能的永久工程的组成部分。</w:t>
      </w:r>
    </w:p>
    <w:p>
      <w:pPr>
        <w:spacing w:line="360" w:lineRule="auto"/>
        <w:ind w:firstLine="630" w:firstLineChars="300"/>
        <w:rPr>
          <w:rFonts w:ascii="宋体"/>
        </w:rPr>
      </w:pPr>
      <w:r>
        <w:rPr>
          <w:rFonts w:ascii="宋体" w:hAnsi="宋体"/>
        </w:rPr>
        <w:t xml:space="preserve">1.1.3.5  </w:t>
      </w:r>
      <w:r>
        <w:rPr>
          <w:rFonts w:hint="eastAsia" w:ascii="宋体" w:hAnsi="宋体"/>
        </w:rPr>
        <w:t>工程设备：指构成或计划构成永久工程一部分的机电设备、金属结构设备、仪器装置及其他类似的设备和装置。</w:t>
      </w:r>
    </w:p>
    <w:p>
      <w:pPr>
        <w:spacing w:line="360" w:lineRule="auto"/>
        <w:ind w:firstLine="630" w:firstLineChars="300"/>
        <w:rPr>
          <w:rFonts w:ascii="宋体"/>
        </w:rPr>
      </w:pPr>
      <w:r>
        <w:rPr>
          <w:rFonts w:ascii="宋体" w:hAnsi="宋体"/>
        </w:rPr>
        <w:t xml:space="preserve">1.1.3.6  </w:t>
      </w:r>
      <w:r>
        <w:rPr>
          <w:rFonts w:hint="eastAsia" w:ascii="宋体" w:hAnsi="宋体"/>
        </w:rPr>
        <w:t>施工设备：指为完成合同约定的各项工作所需的设备、器具和其他物品，不包括临时工程和材料。</w:t>
      </w:r>
    </w:p>
    <w:p>
      <w:pPr>
        <w:spacing w:line="360" w:lineRule="auto"/>
        <w:ind w:firstLine="630" w:firstLineChars="300"/>
        <w:rPr>
          <w:rFonts w:ascii="宋体"/>
        </w:rPr>
      </w:pPr>
      <w:r>
        <w:rPr>
          <w:rFonts w:ascii="宋体" w:hAnsi="宋体"/>
        </w:rPr>
        <w:t xml:space="preserve">1.1.3.7  </w:t>
      </w:r>
      <w:r>
        <w:rPr>
          <w:rFonts w:hint="eastAsia" w:ascii="宋体" w:hAnsi="宋体"/>
        </w:rPr>
        <w:t>临时设施：指为完成合同约定的各项工作所服务的临时性生产和生活设施。</w:t>
      </w:r>
    </w:p>
    <w:p>
      <w:pPr>
        <w:spacing w:line="360" w:lineRule="auto"/>
        <w:ind w:firstLine="630" w:firstLineChars="300"/>
        <w:rPr>
          <w:rFonts w:ascii="宋体"/>
        </w:rPr>
      </w:pPr>
      <w:r>
        <w:rPr>
          <w:rFonts w:ascii="宋体" w:hAnsi="宋体"/>
        </w:rPr>
        <w:t xml:space="preserve">1.1.3.8  </w:t>
      </w:r>
      <w:r>
        <w:rPr>
          <w:rFonts w:hint="eastAsia" w:ascii="宋体" w:hAnsi="宋体"/>
        </w:rPr>
        <w:t>承包人设备：指承包人自带的施工设备。</w:t>
      </w:r>
    </w:p>
    <w:p>
      <w:pPr>
        <w:spacing w:line="360" w:lineRule="auto"/>
        <w:ind w:firstLine="630" w:firstLineChars="300"/>
        <w:rPr>
          <w:rFonts w:ascii="宋体"/>
        </w:rPr>
      </w:pPr>
      <w:r>
        <w:rPr>
          <w:rFonts w:ascii="宋体" w:hAnsi="宋体"/>
        </w:rPr>
        <w:t xml:space="preserve">1.1.3.9  </w:t>
      </w:r>
      <w:r>
        <w:rPr>
          <w:rFonts w:hint="eastAsia" w:ascii="宋体" w:hAnsi="宋体"/>
        </w:rPr>
        <w:t>施工场地（或称工地、现场）：指用于合同工程施工的场所，以及在合同中指定作为施工场地组成部分的其他场所，包括永久占地和临时占地。</w:t>
      </w:r>
    </w:p>
    <w:p>
      <w:pPr>
        <w:spacing w:line="360" w:lineRule="auto"/>
        <w:ind w:firstLine="630" w:firstLineChars="300"/>
        <w:rPr>
          <w:rFonts w:ascii="宋体"/>
        </w:rPr>
      </w:pPr>
      <w:r>
        <w:rPr>
          <w:rFonts w:ascii="宋体" w:hAnsi="宋体"/>
        </w:rPr>
        <w:t xml:space="preserve">1.1.3.10  </w:t>
      </w:r>
      <w:r>
        <w:rPr>
          <w:rFonts w:hint="eastAsia" w:ascii="宋体" w:hAnsi="宋体"/>
        </w:rPr>
        <w:t>永久占地：指为实施合同工程需永久占用的土地。永久占地的约定</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1.1.3.11  </w:t>
      </w:r>
      <w:r>
        <w:rPr>
          <w:rFonts w:hint="eastAsia" w:ascii="宋体" w:hAnsi="宋体"/>
        </w:rPr>
        <w:t>临时占地：指为实施合同工程需临时占用的土地。临时占地的约定</w:t>
      </w:r>
      <w:r>
        <w:rPr>
          <w:rFonts w:hint="eastAsia" w:ascii="黑体" w:hAnsi="黑体" w:eastAsia="黑体"/>
        </w:rPr>
        <w:t>见合同条款专用部分。</w:t>
      </w:r>
    </w:p>
    <w:p>
      <w:pPr>
        <w:spacing w:line="360" w:lineRule="auto"/>
        <w:ind w:firstLine="630" w:firstLineChars="300"/>
        <w:rPr>
          <w:rFonts w:ascii="宋体"/>
        </w:rPr>
      </w:pPr>
      <w:r>
        <w:rPr>
          <w:rFonts w:ascii="宋体" w:hAnsi="宋体"/>
        </w:rPr>
        <w:t xml:space="preserve">1.1.3.12  </w:t>
      </w:r>
      <w:r>
        <w:rPr>
          <w:rFonts w:hint="eastAsia" w:ascii="宋体" w:hAnsi="宋体"/>
        </w:rPr>
        <w:t>材料：指构成或将构成永久工程组成部分的各类物品</w:t>
      </w:r>
      <w:r>
        <w:rPr>
          <w:rFonts w:ascii="宋体" w:hAnsi="宋体"/>
        </w:rPr>
        <w:t>(</w:t>
      </w:r>
      <w:r>
        <w:rPr>
          <w:rFonts w:hint="eastAsia" w:ascii="宋体" w:hAnsi="宋体"/>
        </w:rPr>
        <w:t>工程设备除外</w:t>
      </w:r>
      <w:r>
        <w:rPr>
          <w:rFonts w:ascii="宋体" w:hAnsi="宋体"/>
        </w:rPr>
        <w:t>)</w:t>
      </w:r>
      <w:r>
        <w:rPr>
          <w:rFonts w:hint="eastAsia" w:ascii="宋体" w:hAnsi="宋体"/>
        </w:rPr>
        <w:t>，包括合同中可能约定的承包人仅负责供应的材料。</w:t>
      </w:r>
    </w:p>
    <w:p>
      <w:pPr>
        <w:spacing w:line="360" w:lineRule="auto"/>
        <w:ind w:firstLine="420" w:firstLineChars="200"/>
        <w:rPr>
          <w:rFonts w:ascii="宋体"/>
        </w:rPr>
      </w:pPr>
      <w:r>
        <w:rPr>
          <w:rFonts w:ascii="宋体" w:hAnsi="宋体"/>
        </w:rPr>
        <w:t xml:space="preserve">1.1.4  </w:t>
      </w:r>
      <w:r>
        <w:rPr>
          <w:rFonts w:hint="eastAsia" w:ascii="宋体" w:hAnsi="宋体"/>
        </w:rPr>
        <w:t>日期</w:t>
      </w:r>
    </w:p>
    <w:p>
      <w:pPr>
        <w:spacing w:line="360" w:lineRule="auto"/>
        <w:ind w:firstLine="630" w:firstLineChars="300"/>
        <w:rPr>
          <w:rFonts w:ascii="宋体"/>
        </w:rPr>
      </w:pPr>
      <w:r>
        <w:rPr>
          <w:rFonts w:ascii="宋体" w:hAnsi="宋体"/>
        </w:rPr>
        <w:t xml:space="preserve">1.1.4.1  </w:t>
      </w:r>
      <w:r>
        <w:rPr>
          <w:rFonts w:hint="eastAsia" w:ascii="宋体" w:hAnsi="宋体"/>
        </w:rPr>
        <w:t>开工通知：指监理人按第</w:t>
      </w:r>
      <w:r>
        <w:rPr>
          <w:rFonts w:ascii="宋体" w:hAnsi="宋体"/>
        </w:rPr>
        <w:t>11.1</w:t>
      </w:r>
      <w:r>
        <w:rPr>
          <w:rFonts w:hint="eastAsia" w:ascii="宋体" w:hAnsi="宋体"/>
        </w:rPr>
        <w:t>款通知承包人开工的函件。</w:t>
      </w:r>
    </w:p>
    <w:p>
      <w:pPr>
        <w:spacing w:line="360" w:lineRule="auto"/>
        <w:ind w:firstLine="630" w:firstLineChars="300"/>
        <w:rPr>
          <w:rFonts w:ascii="宋体"/>
        </w:rPr>
      </w:pPr>
      <w:r>
        <w:rPr>
          <w:rFonts w:ascii="宋体" w:hAnsi="宋体"/>
        </w:rPr>
        <w:t xml:space="preserve">1.1.4.2  </w:t>
      </w:r>
      <w:r>
        <w:rPr>
          <w:rFonts w:hint="eastAsia" w:ascii="宋体" w:hAnsi="宋体"/>
        </w:rPr>
        <w:t>开工日期：指监理人按第</w:t>
      </w:r>
      <w:r>
        <w:rPr>
          <w:rFonts w:ascii="宋体" w:hAnsi="宋体"/>
        </w:rPr>
        <w:t>11.1</w:t>
      </w:r>
      <w:r>
        <w:rPr>
          <w:rFonts w:hint="eastAsia" w:ascii="宋体" w:hAnsi="宋体"/>
        </w:rPr>
        <w:t>款发出的开工通知中写明的开工日期。</w:t>
      </w:r>
    </w:p>
    <w:p>
      <w:pPr>
        <w:spacing w:line="360" w:lineRule="auto"/>
        <w:ind w:firstLine="630" w:firstLineChars="300"/>
        <w:rPr>
          <w:rFonts w:ascii="宋体"/>
        </w:rPr>
      </w:pPr>
      <w:r>
        <w:rPr>
          <w:rFonts w:ascii="宋体" w:hAnsi="宋体"/>
        </w:rPr>
        <w:t xml:space="preserve">1.1.4.3  </w:t>
      </w:r>
      <w:r>
        <w:rPr>
          <w:rFonts w:hint="eastAsia" w:ascii="宋体" w:hAnsi="宋体"/>
        </w:rPr>
        <w:t>工期：指承包人在投标函中承诺的完成合同工程所需的期限，包括按第</w:t>
      </w:r>
      <w:r>
        <w:rPr>
          <w:rFonts w:ascii="宋体" w:hAnsi="宋体"/>
        </w:rPr>
        <w:t>11.3</w:t>
      </w:r>
      <w:r>
        <w:rPr>
          <w:rFonts w:hint="eastAsia" w:ascii="宋体" w:hAnsi="宋体"/>
        </w:rPr>
        <w:t>款、第</w:t>
      </w:r>
      <w:r>
        <w:rPr>
          <w:rFonts w:ascii="宋体" w:hAnsi="宋体"/>
        </w:rPr>
        <w:t>11.4</w:t>
      </w:r>
      <w:r>
        <w:rPr>
          <w:rFonts w:hint="eastAsia" w:ascii="宋体" w:hAnsi="宋体"/>
        </w:rPr>
        <w:t>款和第</w:t>
      </w:r>
      <w:r>
        <w:rPr>
          <w:rFonts w:ascii="宋体" w:hAnsi="宋体"/>
        </w:rPr>
        <w:t>11.6</w:t>
      </w:r>
      <w:r>
        <w:rPr>
          <w:rFonts w:hint="eastAsia" w:ascii="宋体" w:hAnsi="宋体"/>
        </w:rPr>
        <w:t>款约定所作的变更。</w:t>
      </w:r>
    </w:p>
    <w:p>
      <w:pPr>
        <w:spacing w:line="360" w:lineRule="auto"/>
        <w:ind w:firstLine="630" w:firstLineChars="300"/>
        <w:rPr>
          <w:rFonts w:ascii="宋体"/>
        </w:rPr>
      </w:pPr>
      <w:r>
        <w:rPr>
          <w:rFonts w:ascii="宋体" w:hAnsi="宋体"/>
        </w:rPr>
        <w:t xml:space="preserve">1.1.4.4  </w:t>
      </w:r>
      <w:r>
        <w:rPr>
          <w:rFonts w:hint="eastAsia" w:ascii="宋体" w:hAnsi="宋体"/>
        </w:rPr>
        <w:t>竣工日期：指第</w:t>
      </w:r>
      <w:r>
        <w:rPr>
          <w:rFonts w:ascii="宋体" w:hAnsi="宋体"/>
        </w:rPr>
        <w:t>1.1.4.3</w:t>
      </w:r>
      <w:r>
        <w:rPr>
          <w:rFonts w:hint="eastAsia" w:ascii="宋体" w:hAnsi="宋体"/>
        </w:rPr>
        <w:t>目约定工期届满时的日期。实际竣工日期以工程接收证书中写明的日期为准。</w:t>
      </w:r>
    </w:p>
    <w:p>
      <w:pPr>
        <w:spacing w:line="360" w:lineRule="auto"/>
        <w:ind w:firstLine="630" w:firstLineChars="300"/>
        <w:rPr>
          <w:rFonts w:ascii="宋体"/>
        </w:rPr>
      </w:pPr>
      <w:r>
        <w:rPr>
          <w:rFonts w:ascii="宋体" w:hAnsi="宋体"/>
        </w:rPr>
        <w:t xml:space="preserve">1.1.4.5  </w:t>
      </w:r>
      <w:r>
        <w:rPr>
          <w:rFonts w:hint="eastAsia" w:ascii="宋体" w:hAnsi="宋体"/>
        </w:rPr>
        <w:t>缺陷责任期：指履行第</w:t>
      </w:r>
      <w:r>
        <w:rPr>
          <w:rFonts w:ascii="宋体" w:hAnsi="宋体"/>
        </w:rPr>
        <w:t>19.2</w:t>
      </w:r>
      <w:r>
        <w:rPr>
          <w:rFonts w:hint="eastAsia" w:ascii="宋体" w:hAnsi="宋体"/>
        </w:rPr>
        <w:t>款约定的缺陷责任的期限，包括根据第</w:t>
      </w:r>
      <w:r>
        <w:rPr>
          <w:rFonts w:ascii="宋体" w:hAnsi="宋体"/>
        </w:rPr>
        <w:t>19.3</w:t>
      </w:r>
      <w:r>
        <w:rPr>
          <w:rFonts w:hint="eastAsia" w:ascii="宋体" w:hAnsi="宋体"/>
        </w:rPr>
        <w:t>款约定所作的延长。缺陷责任期的具体期限</w:t>
      </w:r>
      <w:r>
        <w:rPr>
          <w:rFonts w:hint="eastAsia" w:ascii="黑体" w:hAnsi="黑体" w:eastAsia="黑体"/>
        </w:rPr>
        <w:t>见合同条款专用部分</w:t>
      </w:r>
      <w:r>
        <w:rPr>
          <w:rFonts w:hint="eastAsia" w:ascii="宋体" w:hAnsi="宋体"/>
        </w:rPr>
        <w:t>。</w:t>
      </w:r>
    </w:p>
    <w:p>
      <w:pPr>
        <w:spacing w:line="360" w:lineRule="auto"/>
        <w:ind w:firstLine="630" w:firstLineChars="300"/>
        <w:rPr>
          <w:rFonts w:ascii="宋体"/>
        </w:rPr>
      </w:pPr>
      <w:r>
        <w:rPr>
          <w:rFonts w:ascii="宋体" w:hAnsi="宋体"/>
        </w:rPr>
        <w:t xml:space="preserve">1.1.4.6  </w:t>
      </w:r>
      <w:r>
        <w:rPr>
          <w:rFonts w:hint="eastAsia" w:ascii="宋体" w:hAnsi="宋体"/>
        </w:rPr>
        <w:t>基准日期：指投标截止时间前</w:t>
      </w:r>
      <w:r>
        <w:rPr>
          <w:rFonts w:ascii="宋体" w:hAnsi="宋体"/>
        </w:rPr>
        <w:t>28</w:t>
      </w:r>
      <w:r>
        <w:rPr>
          <w:rFonts w:hint="eastAsia" w:ascii="宋体" w:hAnsi="宋体"/>
        </w:rPr>
        <w:t>天的日期。</w:t>
      </w:r>
    </w:p>
    <w:p>
      <w:pPr>
        <w:spacing w:line="360" w:lineRule="auto"/>
        <w:ind w:firstLine="630" w:firstLineChars="300"/>
        <w:rPr>
          <w:rFonts w:ascii="宋体"/>
        </w:rPr>
      </w:pPr>
      <w:r>
        <w:rPr>
          <w:rFonts w:ascii="宋体" w:hAnsi="宋体"/>
        </w:rPr>
        <w:t xml:space="preserve">1.1.4.7  </w:t>
      </w:r>
      <w:r>
        <w:rPr>
          <w:rFonts w:hint="eastAsia" w:ascii="宋体" w:hAnsi="宋体"/>
        </w:rPr>
        <w:t>天：除特别指明外，指日历天。合同中按天计算时间的，开始当天不计入，从次日开始计算。期限最后一天的截止时间为当天</w:t>
      </w:r>
      <w:r>
        <w:rPr>
          <w:rFonts w:ascii="宋体" w:hAnsi="宋体"/>
        </w:rPr>
        <w:t>24:00</w:t>
      </w:r>
      <w:r>
        <w:rPr>
          <w:rFonts w:hint="eastAsia" w:ascii="宋体" w:hAnsi="宋体"/>
        </w:rPr>
        <w:t>。</w:t>
      </w:r>
    </w:p>
    <w:p>
      <w:pPr>
        <w:spacing w:line="360" w:lineRule="auto"/>
        <w:ind w:firstLine="630" w:firstLineChars="300"/>
        <w:rPr>
          <w:rFonts w:ascii="宋体"/>
        </w:rPr>
      </w:pPr>
      <w:r>
        <w:rPr>
          <w:rFonts w:ascii="宋体" w:hAnsi="宋体"/>
        </w:rPr>
        <w:t xml:space="preserve">1.1.4.8  </w:t>
      </w:r>
      <w:r>
        <w:rPr>
          <w:rFonts w:hint="eastAsia" w:ascii="宋体" w:hAnsi="宋体"/>
        </w:rPr>
        <w:t>保修期：是根据现行有关法律规定，在合同条款第</w:t>
      </w:r>
      <w:r>
        <w:rPr>
          <w:rFonts w:ascii="宋体" w:hAnsi="宋体"/>
        </w:rPr>
        <w:t>19.7</w:t>
      </w:r>
      <w:r>
        <w:rPr>
          <w:rFonts w:hint="eastAsia" w:ascii="宋体" w:hAnsi="宋体"/>
        </w:rPr>
        <w:t>款中约定的由承包人负责对合同约定的保修范围内发生的质量问题履行保修义务并对造成的损失承担赔偿责任的期限。</w:t>
      </w:r>
    </w:p>
    <w:p>
      <w:pPr>
        <w:spacing w:line="360" w:lineRule="auto"/>
        <w:ind w:firstLine="420" w:firstLineChars="200"/>
        <w:rPr>
          <w:rFonts w:ascii="宋体"/>
        </w:rPr>
      </w:pPr>
      <w:r>
        <w:rPr>
          <w:rFonts w:ascii="宋体" w:hAnsi="宋体"/>
        </w:rPr>
        <w:t xml:space="preserve">1.1.5  </w:t>
      </w:r>
      <w:r>
        <w:rPr>
          <w:rFonts w:hint="eastAsia" w:ascii="宋体" w:hAnsi="宋体"/>
        </w:rPr>
        <w:t>合同价格和费用</w:t>
      </w:r>
    </w:p>
    <w:p>
      <w:pPr>
        <w:spacing w:line="360" w:lineRule="auto"/>
        <w:ind w:firstLine="630" w:firstLineChars="300"/>
        <w:rPr>
          <w:rFonts w:ascii="宋体"/>
        </w:rPr>
      </w:pPr>
      <w:r>
        <w:rPr>
          <w:rFonts w:ascii="宋体" w:hAnsi="宋体"/>
        </w:rPr>
        <w:t xml:space="preserve">1.1.5.1  </w:t>
      </w:r>
      <w:r>
        <w:rPr>
          <w:rFonts w:hint="eastAsia" w:ascii="宋体" w:hAnsi="宋体"/>
        </w:rPr>
        <w:t>签约合同价：指签定合同时合同协议书中写明的，包括了暂列金额、暂估价的合同总金额。</w:t>
      </w:r>
    </w:p>
    <w:p>
      <w:pPr>
        <w:spacing w:line="360" w:lineRule="auto"/>
        <w:ind w:firstLine="630" w:firstLineChars="300"/>
        <w:rPr>
          <w:rFonts w:ascii="宋体"/>
        </w:rPr>
      </w:pPr>
      <w:r>
        <w:rPr>
          <w:rFonts w:ascii="宋体" w:hAnsi="宋体"/>
        </w:rPr>
        <w:t xml:space="preserve">1.1.5.2  </w:t>
      </w:r>
      <w:r>
        <w:rPr>
          <w:rFonts w:hint="eastAsia" w:ascii="宋体" w:hAnsi="宋体"/>
        </w:rPr>
        <w:t>合同价格：指承包人按合同约定完成了包括缺陷责任期内的全部承包工作后，发包人应付给承包人的金额，包括在履行合同过程中按合同约定进行的变更和调整。</w:t>
      </w:r>
    </w:p>
    <w:p>
      <w:pPr>
        <w:spacing w:line="360" w:lineRule="auto"/>
        <w:ind w:firstLine="630" w:firstLineChars="300"/>
        <w:rPr>
          <w:rFonts w:ascii="宋体"/>
        </w:rPr>
      </w:pPr>
      <w:r>
        <w:rPr>
          <w:rFonts w:ascii="宋体" w:hAnsi="宋体"/>
        </w:rPr>
        <w:t xml:space="preserve">1.1.5.3  </w:t>
      </w:r>
      <w:r>
        <w:rPr>
          <w:rFonts w:hint="eastAsia" w:ascii="宋体" w:hAnsi="宋体"/>
        </w:rPr>
        <w:t>费用：指为履行合同所发生的或将要发生的所有合理开支，包括管理费和应分摊的其他费用，但不包括利润。</w:t>
      </w:r>
    </w:p>
    <w:p>
      <w:pPr>
        <w:spacing w:line="360" w:lineRule="auto"/>
        <w:ind w:firstLine="630" w:firstLineChars="300"/>
        <w:rPr>
          <w:rFonts w:ascii="宋体"/>
        </w:rPr>
      </w:pPr>
      <w:r>
        <w:rPr>
          <w:rFonts w:ascii="宋体" w:hAnsi="宋体"/>
        </w:rPr>
        <w:t xml:space="preserve">1.1.5.4  </w:t>
      </w:r>
      <w:r>
        <w:rPr>
          <w:rFonts w:hint="eastAsia" w:ascii="宋体" w:hAnsi="宋体"/>
        </w:rPr>
        <w:t>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630" w:firstLineChars="300"/>
        <w:rPr>
          <w:rFonts w:ascii="宋体"/>
        </w:rPr>
      </w:pPr>
      <w:r>
        <w:rPr>
          <w:rFonts w:ascii="宋体" w:hAnsi="宋体"/>
        </w:rPr>
        <w:t xml:space="preserve">1.1.5.5  </w:t>
      </w:r>
      <w:r>
        <w:rPr>
          <w:rFonts w:hint="eastAsia" w:ascii="宋体" w:hAnsi="宋体"/>
        </w:rPr>
        <w:t>暂估价：指发包人在工程量清单中给定的用于支付必然发生但暂时不能确定价格的材料、设备以及专业工程的金额。</w:t>
      </w:r>
    </w:p>
    <w:p>
      <w:pPr>
        <w:spacing w:line="360" w:lineRule="auto"/>
        <w:ind w:firstLine="630" w:firstLineChars="300"/>
        <w:rPr>
          <w:rFonts w:ascii="宋体"/>
        </w:rPr>
      </w:pPr>
      <w:r>
        <w:rPr>
          <w:rFonts w:ascii="宋体" w:hAnsi="宋体"/>
        </w:rPr>
        <w:t xml:space="preserve">1.1.5.6  </w:t>
      </w:r>
      <w:r>
        <w:rPr>
          <w:rFonts w:hint="eastAsia" w:ascii="宋体" w:hAnsi="宋体"/>
        </w:rPr>
        <w:t>计日工：指对零星工作采取的一种计价方式，按合同中的计日工子目及其单价计价付款。</w:t>
      </w:r>
    </w:p>
    <w:p>
      <w:pPr>
        <w:spacing w:line="360" w:lineRule="auto"/>
        <w:ind w:firstLine="630" w:firstLineChars="300"/>
        <w:rPr>
          <w:rFonts w:ascii="宋体"/>
        </w:rPr>
      </w:pPr>
      <w:r>
        <w:rPr>
          <w:rFonts w:ascii="宋体" w:hAnsi="宋体"/>
        </w:rPr>
        <w:t xml:space="preserve">1.1.5.7  </w:t>
      </w:r>
      <w:r>
        <w:rPr>
          <w:rFonts w:hint="eastAsia" w:ascii="宋体" w:hAnsi="宋体"/>
        </w:rPr>
        <w:t>质量保证金（或称保留金）：指按第</w:t>
      </w:r>
      <w:r>
        <w:rPr>
          <w:rFonts w:ascii="宋体" w:hAnsi="宋体"/>
        </w:rPr>
        <w:t>17.4.1</w:t>
      </w:r>
      <w:r>
        <w:rPr>
          <w:rFonts w:hint="eastAsia" w:ascii="宋体" w:hAnsi="宋体"/>
        </w:rPr>
        <w:t>项约定用于保证在缺陷责任期内履行缺陷修复义务的金额。</w:t>
      </w:r>
    </w:p>
    <w:p>
      <w:pPr>
        <w:spacing w:line="360" w:lineRule="auto"/>
        <w:ind w:firstLine="420" w:firstLineChars="200"/>
        <w:rPr>
          <w:rFonts w:ascii="宋体"/>
        </w:rPr>
      </w:pPr>
      <w:r>
        <w:rPr>
          <w:rFonts w:ascii="宋体" w:hAnsi="宋体"/>
        </w:rPr>
        <w:t xml:space="preserve">1.1.6  </w:t>
      </w:r>
      <w:r>
        <w:rPr>
          <w:rFonts w:hint="eastAsia" w:ascii="宋体" w:hAnsi="宋体"/>
        </w:rPr>
        <w:t>书面形式</w:t>
      </w:r>
    </w:p>
    <w:p>
      <w:pPr>
        <w:spacing w:line="360" w:lineRule="auto"/>
        <w:ind w:firstLine="420" w:firstLineChars="200"/>
        <w:jc w:val="left"/>
        <w:rPr>
          <w:rFonts w:ascii="宋体"/>
        </w:rPr>
      </w:pPr>
      <w:r>
        <w:rPr>
          <w:rFonts w:hint="eastAsia" w:ascii="宋体" w:hAnsi="宋体"/>
        </w:rPr>
        <w:t>书面形式：指合同文件、信函、电报、传真等可以有形地表现所载内容的形式。</w:t>
      </w:r>
    </w:p>
    <w:p>
      <w:pPr>
        <w:spacing w:line="360" w:lineRule="auto"/>
        <w:ind w:firstLine="420" w:firstLineChars="200"/>
        <w:rPr>
          <w:rFonts w:ascii="宋体"/>
        </w:rPr>
      </w:pPr>
      <w:r>
        <w:rPr>
          <w:rFonts w:ascii="宋体" w:hAnsi="宋体"/>
        </w:rPr>
        <w:t xml:space="preserve">1.1.7  </w:t>
      </w:r>
      <w:r>
        <w:rPr>
          <w:rFonts w:hint="eastAsia" w:ascii="宋体" w:hAnsi="宋体"/>
        </w:rPr>
        <w:t>争议评审组</w:t>
      </w:r>
    </w:p>
    <w:p>
      <w:pPr>
        <w:spacing w:line="360" w:lineRule="auto"/>
        <w:ind w:firstLine="420" w:firstLineChars="200"/>
        <w:jc w:val="left"/>
        <w:rPr>
          <w:rFonts w:ascii="宋体"/>
        </w:rPr>
      </w:pPr>
      <w:r>
        <w:rPr>
          <w:rFonts w:hint="eastAsia" w:ascii="宋体" w:hAnsi="宋体"/>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pPr>
        <w:spacing w:line="360" w:lineRule="auto"/>
        <w:ind w:firstLine="420" w:firstLineChars="200"/>
        <w:rPr>
          <w:rFonts w:ascii="宋体"/>
        </w:rPr>
      </w:pPr>
      <w:r>
        <w:rPr>
          <w:rFonts w:ascii="宋体" w:hAnsi="宋体"/>
        </w:rPr>
        <w:t xml:space="preserve">1.1.8  </w:t>
      </w:r>
      <w:r>
        <w:rPr>
          <w:rFonts w:hint="eastAsia" w:ascii="宋体" w:hAnsi="宋体"/>
        </w:rPr>
        <w:t>其他需要补充的内容</w:t>
      </w:r>
    </w:p>
    <w:p>
      <w:pPr>
        <w:spacing w:line="360" w:lineRule="auto"/>
        <w:ind w:firstLine="420" w:firstLineChars="200"/>
        <w:jc w:val="left"/>
        <w:rPr>
          <w:rFonts w:ascii="宋体"/>
        </w:rPr>
      </w:pPr>
      <w:r>
        <w:rPr>
          <w:rFonts w:hint="eastAsia" w:ascii="宋体" w:hAnsi="宋体"/>
        </w:rPr>
        <w:t>其他需要补充的内容</w:t>
      </w:r>
      <w:r>
        <w:rPr>
          <w:rFonts w:hint="eastAsia" w:ascii="黑体" w:hAnsi="黑体" w:eastAsia="黑体"/>
        </w:rPr>
        <w:t>见合同条款专用部分</w:t>
      </w:r>
      <w:r>
        <w:rPr>
          <w:rFonts w:hint="eastAsia" w:ascii="宋体" w:hAnsi="宋体"/>
        </w:rPr>
        <w:t>。</w:t>
      </w:r>
    </w:p>
    <w:p>
      <w:pPr>
        <w:pStyle w:val="155"/>
        <w:spacing w:before="120" w:after="120"/>
      </w:pPr>
      <w:bookmarkStart w:id="1516" w:name="_Toc489279855"/>
      <w:bookmarkStart w:id="1517" w:name="_Toc144974581"/>
      <w:bookmarkStart w:id="1518" w:name="_Toc342296264"/>
      <w:bookmarkStart w:id="1519" w:name="_Toc117350408"/>
      <w:bookmarkStart w:id="1520" w:name="_Toc486580044"/>
      <w:bookmarkStart w:id="1521" w:name="_Toc179632631"/>
      <w:bookmarkStart w:id="1522" w:name="_Toc152045613"/>
      <w:bookmarkStart w:id="1523" w:name="_Toc483668073"/>
      <w:bookmarkStart w:id="1524" w:name="_Toc338944706"/>
      <w:bookmarkStart w:id="1525" w:name="_Toc480486898"/>
      <w:bookmarkStart w:id="1526" w:name="_Toc490222489"/>
      <w:bookmarkStart w:id="1527" w:name="_Toc152042391"/>
      <w:bookmarkStart w:id="1528" w:name="_Toc480486726"/>
      <w:r>
        <w:t xml:space="preserve">1.2  </w:t>
      </w:r>
      <w:r>
        <w:rPr>
          <w:rFonts w:hint="eastAsia"/>
        </w:rPr>
        <w:t>语言文字</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pPr>
        <w:spacing w:line="360" w:lineRule="auto"/>
        <w:ind w:firstLine="420" w:firstLineChars="200"/>
        <w:jc w:val="left"/>
        <w:rPr>
          <w:rFonts w:ascii="宋体"/>
        </w:rPr>
      </w:pPr>
      <w:r>
        <w:rPr>
          <w:rFonts w:hint="eastAsia" w:ascii="宋体" w:hAnsi="宋体"/>
        </w:rPr>
        <w:t>除专用术语外，合同使用的语言文字为中文。必要时专用术语应附有中文注释。</w:t>
      </w:r>
    </w:p>
    <w:p>
      <w:pPr>
        <w:pStyle w:val="155"/>
        <w:spacing w:before="120" w:after="120"/>
      </w:pPr>
      <w:bookmarkStart w:id="1529" w:name="_Toc144974582"/>
      <w:bookmarkStart w:id="1530" w:name="_Toc152042392"/>
      <w:bookmarkStart w:id="1531" w:name="_Toc117350409"/>
      <w:bookmarkStart w:id="1532" w:name="_Toc179632632"/>
      <w:bookmarkStart w:id="1533" w:name="_Toc486580045"/>
      <w:bookmarkStart w:id="1534" w:name="_Toc480486727"/>
      <w:bookmarkStart w:id="1535" w:name="_Toc338944707"/>
      <w:bookmarkStart w:id="1536" w:name="_Toc342296265"/>
      <w:bookmarkStart w:id="1537" w:name="_Toc152045614"/>
      <w:bookmarkStart w:id="1538" w:name="_Toc490222490"/>
      <w:bookmarkStart w:id="1539" w:name="_Toc489279856"/>
      <w:bookmarkStart w:id="1540" w:name="_Toc480486899"/>
      <w:bookmarkStart w:id="1541" w:name="_Toc483668074"/>
      <w:r>
        <w:t xml:space="preserve">1.3  </w:t>
      </w:r>
      <w:r>
        <w:rPr>
          <w:rFonts w:hint="eastAsia"/>
        </w:rPr>
        <w:t>法律</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pPr>
        <w:spacing w:line="360" w:lineRule="auto"/>
        <w:ind w:firstLine="420" w:firstLineChars="200"/>
        <w:jc w:val="left"/>
        <w:rPr>
          <w:rFonts w:ascii="宋体"/>
        </w:rPr>
      </w:pPr>
      <w:r>
        <w:rPr>
          <w:rFonts w:hint="eastAsia" w:ascii="宋体" w:hAnsi="宋体"/>
        </w:rPr>
        <w:t>适用于合同的法律包括中华人民共和国法律、行政法规、部门规章，以及工程所在地的地方法规、自治条例、单行条例和地方政府规章。</w:t>
      </w:r>
    </w:p>
    <w:p>
      <w:pPr>
        <w:pStyle w:val="155"/>
        <w:spacing w:before="120" w:after="120"/>
      </w:pPr>
      <w:bookmarkStart w:id="1542" w:name="_Toc117350410"/>
      <w:bookmarkStart w:id="1543" w:name="_Toc483668075"/>
      <w:bookmarkStart w:id="1544" w:name="_Toc480486728"/>
      <w:bookmarkStart w:id="1545" w:name="_Toc342296266"/>
      <w:bookmarkStart w:id="1546" w:name="_Toc490222491"/>
      <w:bookmarkStart w:id="1547" w:name="_Toc338944708"/>
      <w:bookmarkStart w:id="1548" w:name="_Toc480486900"/>
      <w:bookmarkStart w:id="1549" w:name="_Toc486580046"/>
      <w:bookmarkStart w:id="1550" w:name="_Toc489279857"/>
      <w:r>
        <w:t xml:space="preserve">1.4  </w:t>
      </w:r>
      <w:r>
        <w:rPr>
          <w:rFonts w:hint="eastAsia"/>
        </w:rPr>
        <w:t>合同文件的优先顺序</w:t>
      </w:r>
      <w:bookmarkEnd w:id="1542"/>
      <w:bookmarkEnd w:id="1543"/>
      <w:bookmarkEnd w:id="1544"/>
      <w:bookmarkEnd w:id="1545"/>
      <w:bookmarkEnd w:id="1546"/>
      <w:bookmarkEnd w:id="1547"/>
      <w:bookmarkEnd w:id="1548"/>
      <w:bookmarkEnd w:id="1549"/>
      <w:bookmarkEnd w:id="1550"/>
    </w:p>
    <w:p>
      <w:pPr>
        <w:spacing w:line="360" w:lineRule="auto"/>
        <w:ind w:firstLine="420" w:firstLineChars="200"/>
        <w:rPr>
          <w:rFonts w:ascii="宋体"/>
        </w:rPr>
      </w:pPr>
      <w:r>
        <w:rPr>
          <w:rFonts w:hint="eastAsia" w:ascii="宋体" w:hAnsi="宋体"/>
        </w:rPr>
        <w:t>组成合同的各项文件应互相解释，互为说明。除合同条款专用部分另有约定外，解释合同文件的优先顺序如下：</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）合同协议书；</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）中标通知书；</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）投标函及投标函附录；</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）合同条款专用部分；</w:t>
      </w:r>
    </w:p>
    <w:p>
      <w:pPr>
        <w:spacing w:line="360" w:lineRule="auto"/>
        <w:ind w:firstLine="315" w:firstLineChars="150"/>
        <w:rPr>
          <w:rFonts w:ascii="宋体"/>
        </w:rPr>
      </w:pPr>
      <w:r>
        <w:rPr>
          <w:rFonts w:hint="eastAsia" w:ascii="宋体" w:hAnsi="宋体"/>
        </w:rPr>
        <w:t>（</w:t>
      </w:r>
      <w:r>
        <w:rPr>
          <w:rFonts w:ascii="宋体" w:hAnsi="宋体"/>
        </w:rPr>
        <w:t>5</w:t>
      </w:r>
      <w:r>
        <w:rPr>
          <w:rFonts w:hint="eastAsia" w:ascii="宋体" w:hAnsi="宋体"/>
        </w:rPr>
        <w:t>）合同条款通用部分；</w:t>
      </w:r>
    </w:p>
    <w:p>
      <w:pPr>
        <w:spacing w:line="360" w:lineRule="auto"/>
        <w:ind w:firstLine="315" w:firstLineChars="150"/>
        <w:rPr>
          <w:rFonts w:ascii="宋体"/>
        </w:rPr>
      </w:pPr>
      <w:r>
        <w:rPr>
          <w:rFonts w:hint="eastAsia" w:ascii="宋体" w:hAnsi="宋体"/>
        </w:rPr>
        <w:t>（</w:t>
      </w:r>
      <w:r>
        <w:rPr>
          <w:rFonts w:ascii="宋体" w:hAnsi="宋体"/>
        </w:rPr>
        <w:t>6</w:t>
      </w:r>
      <w:r>
        <w:rPr>
          <w:rFonts w:hint="eastAsia" w:ascii="宋体" w:hAnsi="宋体"/>
        </w:rPr>
        <w:t>）技术标准和要求；</w:t>
      </w:r>
    </w:p>
    <w:p>
      <w:pPr>
        <w:spacing w:line="360" w:lineRule="auto"/>
        <w:ind w:firstLine="315" w:firstLineChars="150"/>
        <w:rPr>
          <w:rFonts w:ascii="宋体"/>
        </w:rPr>
      </w:pPr>
      <w:r>
        <w:rPr>
          <w:rFonts w:hint="eastAsia" w:ascii="宋体" w:hAnsi="宋体"/>
        </w:rPr>
        <w:t>（</w:t>
      </w:r>
      <w:r>
        <w:rPr>
          <w:rFonts w:ascii="宋体" w:hAnsi="宋体"/>
        </w:rPr>
        <w:t>7</w:t>
      </w:r>
      <w:r>
        <w:rPr>
          <w:rFonts w:hint="eastAsia" w:ascii="宋体" w:hAnsi="宋体"/>
        </w:rPr>
        <w:t>）图纸；</w:t>
      </w:r>
    </w:p>
    <w:p>
      <w:pPr>
        <w:spacing w:line="360" w:lineRule="auto"/>
        <w:ind w:firstLine="315" w:firstLineChars="150"/>
        <w:rPr>
          <w:rFonts w:ascii="宋体"/>
        </w:rPr>
      </w:pPr>
      <w:r>
        <w:rPr>
          <w:rFonts w:hint="eastAsia" w:ascii="宋体" w:hAnsi="宋体"/>
        </w:rPr>
        <w:t>（</w:t>
      </w:r>
      <w:r>
        <w:rPr>
          <w:rFonts w:ascii="宋体" w:hAnsi="宋体"/>
        </w:rPr>
        <w:t>8</w:t>
      </w:r>
      <w:r>
        <w:rPr>
          <w:rFonts w:hint="eastAsia" w:ascii="宋体" w:hAnsi="宋体"/>
        </w:rPr>
        <w:t>）已标价工程量清单；</w:t>
      </w:r>
    </w:p>
    <w:p>
      <w:pPr>
        <w:spacing w:line="360" w:lineRule="auto"/>
        <w:ind w:firstLine="315" w:firstLineChars="150"/>
        <w:rPr>
          <w:rFonts w:ascii="宋体"/>
        </w:rPr>
      </w:pPr>
      <w:r>
        <w:rPr>
          <w:rFonts w:hint="eastAsia" w:ascii="宋体" w:hAnsi="宋体"/>
        </w:rPr>
        <w:t>（</w:t>
      </w:r>
      <w:r>
        <w:rPr>
          <w:rFonts w:ascii="宋体" w:hAnsi="宋体"/>
        </w:rPr>
        <w:t>9</w:t>
      </w:r>
      <w:r>
        <w:rPr>
          <w:rFonts w:hint="eastAsia" w:ascii="宋体" w:hAnsi="宋体"/>
        </w:rPr>
        <w:t>）其他合同文件。</w:t>
      </w:r>
    </w:p>
    <w:p>
      <w:pPr>
        <w:spacing w:line="360" w:lineRule="auto"/>
        <w:ind w:firstLine="420" w:firstLineChars="200"/>
        <w:rPr>
          <w:rFonts w:ascii="宋体" w:cs="Arial"/>
        </w:rPr>
      </w:pPr>
      <w:r>
        <w:rPr>
          <w:rFonts w:hint="eastAsia" w:ascii="宋体" w:hAnsi="宋体" w:cs="Arial"/>
        </w:rPr>
        <w:t>附注：</w:t>
      </w:r>
      <w:r>
        <w:rPr>
          <w:rFonts w:hint="eastAsia" w:ascii="宋体" w:hAnsi="宋体"/>
        </w:rPr>
        <w:t>构成合同文件的</w:t>
      </w:r>
      <w:r>
        <w:rPr>
          <w:rFonts w:hint="eastAsia" w:ascii="宋体" w:hAnsi="宋体" w:cs="Arial"/>
        </w:rPr>
        <w:t>图纸与技术标准和要求之间有矛盾或者不一致的，应以其中要求较严格的标准为准。</w:t>
      </w:r>
    </w:p>
    <w:p>
      <w:pPr>
        <w:spacing w:line="360" w:lineRule="auto"/>
        <w:ind w:firstLine="420" w:firstLineChars="200"/>
        <w:rPr>
          <w:rFonts w:ascii="宋体"/>
        </w:rPr>
      </w:pPr>
      <w:r>
        <w:rPr>
          <w:rFonts w:hint="eastAsia" w:ascii="宋体" w:hAnsi="宋体" w:cs="Arial"/>
        </w:rPr>
        <w:t>合同双方在合同履行过程中签署的不背离合同实质性内容的补充协议，应当视为合同文件的有效组成部分，其解释顺序视其内容与其他合同文件的相互关系而定。</w:t>
      </w:r>
    </w:p>
    <w:p>
      <w:pPr>
        <w:pStyle w:val="155"/>
        <w:spacing w:before="120" w:after="120"/>
      </w:pPr>
      <w:bookmarkStart w:id="1551" w:name="_Toc480486729"/>
      <w:bookmarkStart w:id="1552" w:name="_Toc480486901"/>
      <w:bookmarkStart w:id="1553" w:name="_Toc117350411"/>
      <w:bookmarkStart w:id="1554" w:name="_Toc486580047"/>
      <w:bookmarkStart w:id="1555" w:name="_Toc338944709"/>
      <w:bookmarkStart w:id="1556" w:name="_Toc342296267"/>
      <w:bookmarkStart w:id="1557" w:name="_Toc490222492"/>
      <w:bookmarkStart w:id="1558" w:name="_Toc489279858"/>
      <w:bookmarkStart w:id="1559" w:name="_Toc483668076"/>
      <w:r>
        <w:t xml:space="preserve">1.5  </w:t>
      </w:r>
      <w:r>
        <w:rPr>
          <w:rFonts w:hint="eastAsia"/>
        </w:rPr>
        <w:t>合同协议书</w:t>
      </w:r>
      <w:bookmarkEnd w:id="1551"/>
      <w:bookmarkEnd w:id="1552"/>
      <w:bookmarkEnd w:id="1553"/>
      <w:bookmarkEnd w:id="1554"/>
      <w:bookmarkEnd w:id="1555"/>
      <w:bookmarkEnd w:id="1556"/>
      <w:bookmarkEnd w:id="1557"/>
      <w:bookmarkEnd w:id="1558"/>
      <w:bookmarkEnd w:id="1559"/>
    </w:p>
    <w:p>
      <w:pPr>
        <w:spacing w:line="360" w:lineRule="auto"/>
        <w:ind w:firstLine="420" w:firstLineChars="200"/>
        <w:jc w:val="left"/>
        <w:rPr>
          <w:rFonts w:ascii="宋体"/>
        </w:rPr>
      </w:pPr>
      <w:r>
        <w:rPr>
          <w:rFonts w:hint="eastAsia" w:ascii="宋体" w:hAnsi="宋体"/>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w:t>
      </w:r>
      <w:r>
        <w:rPr>
          <w:rFonts w:hint="eastAsia" w:ascii="宋体" w:hAnsi="宋体" w:cs="Arial"/>
          <w:szCs w:val="21"/>
        </w:rPr>
        <w:t>委托代理人</w:t>
      </w:r>
      <w:r>
        <w:rPr>
          <w:rFonts w:hint="eastAsia" w:ascii="宋体" w:hAnsi="宋体"/>
        </w:rPr>
        <w:t>在合同协议书上签字并盖单位章后，合同生效。合同生效的条件</w:t>
      </w:r>
      <w:r>
        <w:rPr>
          <w:rFonts w:hint="eastAsia" w:ascii="黑体" w:hAnsi="黑体" w:eastAsia="黑体"/>
        </w:rPr>
        <w:t>见合同条款专用部分</w:t>
      </w:r>
      <w:r>
        <w:rPr>
          <w:rFonts w:hint="eastAsia" w:ascii="宋体" w:hAnsi="宋体"/>
        </w:rPr>
        <w:t>。</w:t>
      </w:r>
    </w:p>
    <w:p>
      <w:pPr>
        <w:pStyle w:val="155"/>
        <w:spacing w:before="120" w:after="120"/>
      </w:pPr>
      <w:bookmarkStart w:id="1560" w:name="_Toc486580048"/>
      <w:bookmarkStart w:id="1561" w:name="_Toc117350412"/>
      <w:bookmarkStart w:id="1562" w:name="_Toc338944710"/>
      <w:bookmarkStart w:id="1563" w:name="_Toc480486902"/>
      <w:bookmarkStart w:id="1564" w:name="_Toc483668077"/>
      <w:bookmarkStart w:id="1565" w:name="_Toc490222493"/>
      <w:bookmarkStart w:id="1566" w:name="_Toc489279859"/>
      <w:bookmarkStart w:id="1567" w:name="_Toc480486730"/>
      <w:bookmarkStart w:id="1568" w:name="_Toc342296268"/>
      <w:r>
        <w:t xml:space="preserve">1.6  </w:t>
      </w:r>
      <w:r>
        <w:rPr>
          <w:rFonts w:hint="eastAsia"/>
        </w:rPr>
        <w:t>图纸和承包人文件</w:t>
      </w:r>
      <w:bookmarkEnd w:id="1560"/>
      <w:bookmarkEnd w:id="1561"/>
      <w:bookmarkEnd w:id="1562"/>
      <w:bookmarkEnd w:id="1563"/>
      <w:bookmarkEnd w:id="1564"/>
      <w:bookmarkEnd w:id="1565"/>
      <w:bookmarkEnd w:id="1566"/>
      <w:bookmarkEnd w:id="1567"/>
      <w:bookmarkEnd w:id="1568"/>
    </w:p>
    <w:p>
      <w:pPr>
        <w:spacing w:line="360" w:lineRule="auto"/>
        <w:ind w:firstLine="420" w:firstLineChars="200"/>
        <w:jc w:val="left"/>
        <w:rPr>
          <w:rFonts w:ascii="宋体"/>
        </w:rPr>
      </w:pPr>
      <w:r>
        <w:rPr>
          <w:rFonts w:ascii="宋体" w:hAnsi="宋体"/>
        </w:rPr>
        <w:t xml:space="preserve">1.6.1  </w:t>
      </w:r>
      <w:r>
        <w:rPr>
          <w:rFonts w:hint="eastAsia" w:ascii="宋体" w:hAnsi="宋体"/>
        </w:rPr>
        <w:t>图纸的提供</w:t>
      </w:r>
    </w:p>
    <w:p>
      <w:pPr>
        <w:spacing w:line="360" w:lineRule="auto"/>
        <w:ind w:firstLine="420" w:firstLineChars="200"/>
        <w:jc w:val="left"/>
        <w:rPr>
          <w:rFonts w:ascii="宋体"/>
        </w:rPr>
      </w:pPr>
      <w:r>
        <w:rPr>
          <w:rFonts w:hint="eastAsia" w:ascii="宋体" w:hAnsi="宋体"/>
        </w:rPr>
        <w:t>（</w:t>
      </w:r>
      <w:r>
        <w:rPr>
          <w:rFonts w:ascii="宋体" w:hAnsi="宋体"/>
        </w:rPr>
        <w:t>1</w:t>
      </w:r>
      <w:r>
        <w:rPr>
          <w:rFonts w:hint="eastAsia" w:ascii="宋体" w:hAnsi="宋体"/>
        </w:rPr>
        <w:t>）发包人按照合同约定向承包人提供图纸。发包人未按时提供图纸造成工期延误的，按第</w:t>
      </w:r>
      <w:r>
        <w:rPr>
          <w:rFonts w:ascii="宋体" w:hAnsi="宋体"/>
        </w:rPr>
        <w:t>11.3</w:t>
      </w:r>
      <w:r>
        <w:rPr>
          <w:rFonts w:hint="eastAsia" w:ascii="宋体" w:hAnsi="宋体"/>
        </w:rPr>
        <w:t>款的约定办理。承包人需要增加图纸套数的，发包人应代为复制，复制费用由承包人承担。</w:t>
      </w:r>
    </w:p>
    <w:p>
      <w:pPr>
        <w:spacing w:line="360" w:lineRule="auto"/>
        <w:ind w:firstLine="420" w:firstLineChars="200"/>
        <w:jc w:val="left"/>
        <w:rPr>
          <w:rFonts w:ascii="宋体"/>
        </w:rPr>
      </w:pPr>
      <w:r>
        <w:rPr>
          <w:rFonts w:hint="eastAsia" w:ascii="宋体" w:hAnsi="宋体"/>
        </w:rPr>
        <w:t>（</w:t>
      </w:r>
      <w:r>
        <w:rPr>
          <w:rFonts w:ascii="宋体" w:hAnsi="宋体"/>
        </w:rPr>
        <w:t>2</w:t>
      </w:r>
      <w:r>
        <w:rPr>
          <w:rFonts w:hint="eastAsia" w:ascii="宋体" w:hAnsi="宋体"/>
        </w:rPr>
        <w:t>）依据合同条款专用部分第</w:t>
      </w:r>
      <w:r>
        <w:rPr>
          <w:rFonts w:ascii="宋体" w:hAnsi="宋体"/>
        </w:rPr>
        <w:t>10.1</w:t>
      </w:r>
      <w:r>
        <w:rPr>
          <w:rFonts w:hint="eastAsia" w:ascii="宋体" w:hAnsi="宋体"/>
        </w:rPr>
        <w:t>款约定制定的合同进度计划，或依据合同条款专用部分第</w:t>
      </w:r>
      <w:r>
        <w:rPr>
          <w:rFonts w:ascii="宋体" w:hAnsi="宋体"/>
        </w:rPr>
        <w:t>10.2</w:t>
      </w:r>
      <w:r>
        <w:rPr>
          <w:rFonts w:hint="eastAsia" w:ascii="宋体" w:hAnsi="宋体"/>
        </w:rPr>
        <w:t>款约定修订的合同进度计划，经监理人批准后</w:t>
      </w:r>
      <w:r>
        <w:rPr>
          <w:rFonts w:ascii="宋体" w:hAnsi="宋体"/>
        </w:rPr>
        <w:t>7</w:t>
      </w:r>
      <w:r>
        <w:rPr>
          <w:rFonts w:hint="eastAsia" w:ascii="宋体" w:hAnsi="宋体"/>
        </w:rPr>
        <w:t>日内，承包人应当根据合同进度计划或合同进度计划修订和本项约定的图纸提供期限和数量，编制或者修改图纸供应计划并报送监理人，其中应当载明承包人对各最新版本图纸</w:t>
      </w:r>
      <w:r>
        <w:rPr>
          <w:rFonts w:ascii="宋体" w:hAnsi="宋体"/>
        </w:rPr>
        <w:t>(</w:t>
      </w:r>
      <w:r>
        <w:rPr>
          <w:rFonts w:hint="eastAsia" w:ascii="宋体" w:hAnsi="宋体"/>
        </w:rPr>
        <w:t>包括第</w:t>
      </w:r>
      <w:r>
        <w:rPr>
          <w:rFonts w:ascii="宋体" w:hAnsi="宋体"/>
        </w:rPr>
        <w:t>1.6.3</w:t>
      </w:r>
      <w:r>
        <w:rPr>
          <w:rFonts w:hint="eastAsia" w:ascii="宋体" w:hAnsi="宋体"/>
        </w:rPr>
        <w:t>项约定的图纸修改图</w:t>
      </w:r>
      <w:r>
        <w:rPr>
          <w:rFonts w:ascii="宋体" w:hAnsi="宋体"/>
        </w:rPr>
        <w:t>)</w:t>
      </w:r>
      <w:r>
        <w:rPr>
          <w:rFonts w:hint="eastAsia" w:ascii="宋体" w:hAnsi="宋体"/>
        </w:rPr>
        <w:t>的最迟需求时间，监理人应当在收到图纸供应计划后</w:t>
      </w:r>
      <w:r>
        <w:rPr>
          <w:rFonts w:ascii="宋体" w:hAnsi="宋体"/>
        </w:rPr>
        <w:t>7</w:t>
      </w:r>
      <w:r>
        <w:rPr>
          <w:rFonts w:hint="eastAsia" w:ascii="宋体" w:hAnsi="宋体"/>
        </w:rPr>
        <w:t>天内批复或提出修改意见，否则该图纸供应计划视为得到批准。</w:t>
      </w:r>
    </w:p>
    <w:p>
      <w:pPr>
        <w:spacing w:line="360" w:lineRule="auto"/>
        <w:ind w:firstLine="420" w:firstLineChars="200"/>
        <w:jc w:val="left"/>
        <w:rPr>
          <w:rFonts w:ascii="宋体"/>
        </w:rPr>
      </w:pPr>
      <w:r>
        <w:rPr>
          <w:rFonts w:hint="eastAsia" w:ascii="宋体" w:hAnsi="宋体"/>
        </w:rPr>
        <w:t>（</w:t>
      </w:r>
      <w:r>
        <w:rPr>
          <w:rFonts w:ascii="宋体" w:hAnsi="宋体"/>
        </w:rPr>
        <w:t>3</w:t>
      </w:r>
      <w:r>
        <w:rPr>
          <w:rFonts w:hint="eastAsia" w:ascii="宋体" w:hAnsi="宋体"/>
        </w:rPr>
        <w:t>）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pPr>
        <w:spacing w:line="360" w:lineRule="auto"/>
        <w:ind w:firstLine="420" w:firstLineChars="200"/>
        <w:jc w:val="left"/>
        <w:rPr>
          <w:rFonts w:ascii="宋体"/>
        </w:rPr>
      </w:pPr>
      <w:r>
        <w:rPr>
          <w:rFonts w:hint="eastAsia" w:ascii="宋体" w:hAnsi="宋体"/>
        </w:rPr>
        <w:t>（</w:t>
      </w:r>
      <w:r>
        <w:rPr>
          <w:rFonts w:ascii="宋体" w:hAnsi="宋体"/>
        </w:rPr>
        <w:t>4</w:t>
      </w:r>
      <w:r>
        <w:rPr>
          <w:rFonts w:hint="eastAsia" w:ascii="宋体" w:hAnsi="宋体"/>
        </w:rPr>
        <w:t>）承包人未按照约定的时间向监理人提交图纸供应计划</w:t>
      </w:r>
      <w:r>
        <w:rPr>
          <w:rFonts w:ascii="宋体"/>
        </w:rPr>
        <w:t>,</w:t>
      </w:r>
      <w:r>
        <w:rPr>
          <w:rFonts w:hint="eastAsia" w:ascii="宋体" w:hAnsi="宋体"/>
        </w:rPr>
        <w:t>致使发包人或者监理人未能在约定的时间内提供相应图纸或者承包人未按照图纸供应计划组织施工所造成的费用增加和（或）工期延误由承包人承担。</w:t>
      </w:r>
    </w:p>
    <w:p>
      <w:pPr>
        <w:spacing w:line="360" w:lineRule="auto"/>
        <w:ind w:firstLine="420" w:firstLineChars="200"/>
        <w:jc w:val="left"/>
        <w:rPr>
          <w:rFonts w:ascii="宋体"/>
        </w:rPr>
      </w:pPr>
      <w:r>
        <w:rPr>
          <w:rFonts w:hint="eastAsia" w:ascii="宋体" w:hAnsi="宋体"/>
        </w:rPr>
        <w:t>（</w:t>
      </w:r>
      <w:r>
        <w:rPr>
          <w:rFonts w:ascii="宋体" w:hAnsi="宋体"/>
        </w:rPr>
        <w:t>5</w:t>
      </w:r>
      <w:r>
        <w:rPr>
          <w:rFonts w:hint="eastAsia" w:ascii="宋体" w:hAnsi="宋体"/>
        </w:rPr>
        <w:t>）发包人提供图纸的期限、数量和其他约定</w:t>
      </w:r>
      <w:r>
        <w:rPr>
          <w:rFonts w:hint="eastAsia" w:ascii="黑体" w:hAnsi="黑体" w:eastAsia="黑体"/>
        </w:rPr>
        <w:t>见合同条款专用部分</w:t>
      </w:r>
      <w:r>
        <w:rPr>
          <w:rFonts w:hint="eastAsia" w:ascii="宋体" w:hAnsi="宋体"/>
        </w:rPr>
        <w:t>。</w:t>
      </w:r>
    </w:p>
    <w:p>
      <w:pPr>
        <w:spacing w:line="360" w:lineRule="auto"/>
        <w:ind w:firstLine="420" w:firstLineChars="200"/>
        <w:rPr>
          <w:rFonts w:ascii="宋体"/>
        </w:rPr>
      </w:pPr>
      <w:r>
        <w:rPr>
          <w:rFonts w:ascii="宋体" w:hAnsi="宋体"/>
        </w:rPr>
        <w:t xml:space="preserve">1.6.2  </w:t>
      </w:r>
      <w:r>
        <w:rPr>
          <w:rFonts w:hint="eastAsia" w:ascii="宋体" w:hAnsi="宋体"/>
        </w:rPr>
        <w:t>承包人提供的文件</w:t>
      </w:r>
    </w:p>
    <w:p>
      <w:pPr>
        <w:spacing w:line="360" w:lineRule="auto"/>
        <w:ind w:firstLine="420" w:firstLineChars="200"/>
        <w:jc w:val="left"/>
        <w:rPr>
          <w:rFonts w:ascii="宋体"/>
        </w:rPr>
      </w:pPr>
      <w:r>
        <w:rPr>
          <w:rFonts w:hint="eastAsia" w:ascii="宋体" w:hAnsi="宋体"/>
        </w:rPr>
        <w:t>（</w:t>
      </w:r>
      <w:r>
        <w:rPr>
          <w:rFonts w:ascii="宋体" w:hAnsi="宋体"/>
        </w:rPr>
        <w:t>1</w:t>
      </w:r>
      <w:r>
        <w:rPr>
          <w:rFonts w:hint="eastAsia" w:ascii="宋体" w:hAnsi="宋体"/>
        </w:rPr>
        <w:t>）由承包人提供的文件包括部分工程的大样图、加工图等，承包人应当按照约定的范围、数量和期限报送监理人，监理人应当在约定的期限内批复。承包人提供文件的范围、数量、期限和监理人批复期限以及其他约定</w:t>
      </w:r>
      <w:r>
        <w:rPr>
          <w:rFonts w:hint="eastAsia" w:ascii="黑体" w:hAnsi="黑体" w:eastAsia="黑体"/>
        </w:rPr>
        <w:t>见合同条款专用部分</w:t>
      </w:r>
      <w:r>
        <w:rPr>
          <w:rFonts w:hint="eastAsia" w:ascii="宋体" w:hAnsi="宋体"/>
        </w:rPr>
        <w:t>。</w:t>
      </w:r>
    </w:p>
    <w:p>
      <w:pPr>
        <w:spacing w:line="360" w:lineRule="auto"/>
        <w:ind w:firstLine="420" w:firstLineChars="200"/>
        <w:jc w:val="left"/>
        <w:rPr>
          <w:rFonts w:ascii="宋体"/>
        </w:rPr>
      </w:pPr>
      <w:r>
        <w:rPr>
          <w:rFonts w:hint="eastAsia" w:ascii="宋体" w:hAnsi="宋体"/>
        </w:rPr>
        <w:t>（</w:t>
      </w:r>
      <w:r>
        <w:rPr>
          <w:rFonts w:ascii="宋体" w:hAnsi="宋体"/>
        </w:rPr>
        <w:t>2</w:t>
      </w:r>
      <w:r>
        <w:rPr>
          <w:rFonts w:hint="eastAsia" w:ascii="宋体" w:hAnsi="宋体"/>
        </w:rPr>
        <w:t>）除合同条款第</w:t>
      </w:r>
      <w:r>
        <w:rPr>
          <w:rFonts w:ascii="宋体" w:hAnsi="宋体"/>
        </w:rPr>
        <w:t>4.1.10</w:t>
      </w:r>
      <w:r>
        <w:rPr>
          <w:rFonts w:hint="eastAsia" w:ascii="宋体" w:hAnsi="宋体"/>
        </w:rPr>
        <w:t>项约定的由承包人提供的设计文件外，本项约定的其他应由承包人提供的文件，包括必要的加工图和大样图，均不能作为合同计量与支付的依据文件。</w:t>
      </w:r>
    </w:p>
    <w:p>
      <w:pPr>
        <w:spacing w:line="360" w:lineRule="auto"/>
        <w:ind w:firstLine="420" w:firstLineChars="200"/>
        <w:jc w:val="left"/>
        <w:rPr>
          <w:rFonts w:ascii="宋体"/>
        </w:rPr>
      </w:pPr>
      <w:r>
        <w:rPr>
          <w:rFonts w:ascii="宋体" w:hAnsi="宋体"/>
        </w:rPr>
        <w:t xml:space="preserve">1.6.3  </w:t>
      </w:r>
      <w:r>
        <w:rPr>
          <w:rFonts w:hint="eastAsia" w:ascii="宋体" w:hAnsi="宋体"/>
        </w:rPr>
        <w:t>图纸的修改</w:t>
      </w:r>
    </w:p>
    <w:p>
      <w:pPr>
        <w:spacing w:line="360" w:lineRule="auto"/>
        <w:ind w:firstLine="420" w:firstLineChars="200"/>
        <w:jc w:val="left"/>
        <w:rPr>
          <w:rFonts w:ascii="宋体"/>
        </w:rPr>
      </w:pPr>
      <w:r>
        <w:rPr>
          <w:rFonts w:hint="eastAsia" w:ascii="宋体" w:hAnsi="宋体"/>
        </w:rPr>
        <w:t>图纸需要修改和补充的，监理人应当按照合同条款第</w:t>
      </w:r>
      <w:r>
        <w:rPr>
          <w:rFonts w:ascii="宋体" w:hAnsi="宋体"/>
        </w:rPr>
        <w:t>1.6.1</w:t>
      </w:r>
      <w:r>
        <w:rPr>
          <w:rFonts w:hint="eastAsia" w:ascii="宋体" w:hAnsi="宋体"/>
        </w:rPr>
        <w:t>（</w:t>
      </w:r>
      <w:r>
        <w:rPr>
          <w:rFonts w:ascii="宋体" w:hAnsi="宋体"/>
        </w:rPr>
        <w:t>2</w:t>
      </w:r>
      <w:r>
        <w:rPr>
          <w:rFonts w:hint="eastAsia" w:ascii="宋体" w:hAnsi="宋体"/>
        </w:rPr>
        <w:t>）目约定的有合同约束力的图纸供应计划，签发图纸修改图给承包人。承包人应按修改后的图纸施工。</w:t>
      </w:r>
    </w:p>
    <w:p>
      <w:pPr>
        <w:spacing w:line="360" w:lineRule="auto"/>
        <w:ind w:firstLine="420" w:firstLineChars="200"/>
        <w:jc w:val="left"/>
        <w:rPr>
          <w:rFonts w:ascii="宋体"/>
        </w:rPr>
      </w:pPr>
      <w:r>
        <w:rPr>
          <w:rFonts w:ascii="宋体" w:hAnsi="宋体"/>
        </w:rPr>
        <w:t xml:space="preserve">1.6.4  </w:t>
      </w:r>
      <w:r>
        <w:rPr>
          <w:rFonts w:hint="eastAsia" w:ascii="宋体" w:hAnsi="宋体"/>
        </w:rPr>
        <w:t>图纸的错误</w:t>
      </w:r>
    </w:p>
    <w:p>
      <w:pPr>
        <w:spacing w:line="360" w:lineRule="auto"/>
        <w:ind w:firstLine="420" w:firstLineChars="200"/>
        <w:jc w:val="left"/>
        <w:rPr>
          <w:rFonts w:ascii="宋体"/>
        </w:rPr>
      </w:pPr>
      <w:r>
        <w:rPr>
          <w:rFonts w:hint="eastAsia" w:ascii="宋体" w:hAnsi="宋体"/>
        </w:rPr>
        <w:t>承包人发现发包人提供的图纸存在明显错误或疏忽，应及时通知监理人。</w:t>
      </w:r>
    </w:p>
    <w:p>
      <w:pPr>
        <w:spacing w:line="360" w:lineRule="auto"/>
        <w:ind w:firstLine="420" w:firstLineChars="200"/>
        <w:jc w:val="left"/>
        <w:rPr>
          <w:rFonts w:ascii="宋体"/>
        </w:rPr>
      </w:pPr>
      <w:r>
        <w:rPr>
          <w:rFonts w:ascii="宋体" w:hAnsi="宋体"/>
        </w:rPr>
        <w:t xml:space="preserve">1.6.5  </w:t>
      </w:r>
      <w:r>
        <w:rPr>
          <w:rFonts w:hint="eastAsia" w:ascii="宋体" w:hAnsi="宋体"/>
        </w:rPr>
        <w:t>图纸和承包人文件的保管</w:t>
      </w:r>
    </w:p>
    <w:p>
      <w:pPr>
        <w:spacing w:line="360" w:lineRule="auto"/>
        <w:ind w:firstLine="420" w:firstLineChars="200"/>
        <w:jc w:val="left"/>
        <w:rPr>
          <w:rFonts w:ascii="宋体"/>
        </w:rPr>
      </w:pPr>
      <w:r>
        <w:rPr>
          <w:rFonts w:hint="eastAsia" w:ascii="宋体" w:hAnsi="宋体"/>
        </w:rPr>
        <w:t>监理人和承包人均应在施工场地各保存一套完整的包含第</w:t>
      </w:r>
      <w:r>
        <w:rPr>
          <w:rFonts w:ascii="宋体" w:hAnsi="宋体"/>
        </w:rPr>
        <w:t>1.6.1</w:t>
      </w:r>
      <w:r>
        <w:rPr>
          <w:rFonts w:hint="eastAsia" w:ascii="宋体" w:hAnsi="宋体"/>
        </w:rPr>
        <w:t>项、第</w:t>
      </w:r>
      <w:r>
        <w:rPr>
          <w:rFonts w:ascii="宋体" w:hAnsi="宋体"/>
        </w:rPr>
        <w:t>1.6.2</w:t>
      </w:r>
      <w:r>
        <w:rPr>
          <w:rFonts w:hint="eastAsia" w:ascii="宋体" w:hAnsi="宋体"/>
        </w:rPr>
        <w:t>项、第</w:t>
      </w:r>
      <w:r>
        <w:rPr>
          <w:rFonts w:ascii="宋体" w:hAnsi="宋体"/>
        </w:rPr>
        <w:t>1.6.3</w:t>
      </w:r>
      <w:r>
        <w:rPr>
          <w:rFonts w:hint="eastAsia" w:ascii="宋体" w:hAnsi="宋体"/>
        </w:rPr>
        <w:t>项约定内容的图纸和承包人文件。</w:t>
      </w:r>
    </w:p>
    <w:p>
      <w:pPr>
        <w:pStyle w:val="155"/>
        <w:spacing w:before="120" w:after="120"/>
      </w:pPr>
      <w:bookmarkStart w:id="1569" w:name="_Toc483668078"/>
      <w:bookmarkStart w:id="1570" w:name="_Toc117350413"/>
      <w:bookmarkStart w:id="1571" w:name="_Toc486580049"/>
      <w:bookmarkStart w:id="1572" w:name="_Toc342296269"/>
      <w:bookmarkStart w:id="1573" w:name="_Toc480486731"/>
      <w:bookmarkStart w:id="1574" w:name="_Toc338944711"/>
      <w:bookmarkStart w:id="1575" w:name="_Toc480486903"/>
      <w:bookmarkStart w:id="1576" w:name="_Toc490222494"/>
      <w:bookmarkStart w:id="1577" w:name="_Toc489279860"/>
      <w:r>
        <w:t xml:space="preserve">1.7  </w:t>
      </w:r>
      <w:r>
        <w:rPr>
          <w:rFonts w:hint="eastAsia"/>
        </w:rPr>
        <w:t>联络</w:t>
      </w:r>
      <w:bookmarkEnd w:id="1569"/>
      <w:bookmarkEnd w:id="1570"/>
      <w:bookmarkEnd w:id="1571"/>
      <w:bookmarkEnd w:id="1572"/>
      <w:bookmarkEnd w:id="1573"/>
      <w:bookmarkEnd w:id="1574"/>
      <w:bookmarkEnd w:id="1575"/>
      <w:bookmarkEnd w:id="1576"/>
      <w:bookmarkEnd w:id="1577"/>
    </w:p>
    <w:p>
      <w:pPr>
        <w:spacing w:line="360" w:lineRule="auto"/>
        <w:ind w:firstLine="420" w:firstLineChars="200"/>
        <w:jc w:val="left"/>
        <w:rPr>
          <w:rFonts w:ascii="宋体"/>
        </w:rPr>
      </w:pPr>
      <w:r>
        <w:rPr>
          <w:rFonts w:ascii="宋体" w:hAnsi="宋体"/>
        </w:rPr>
        <w:t xml:space="preserve">1.7.1  </w:t>
      </w:r>
      <w:r>
        <w:rPr>
          <w:rFonts w:hint="eastAsia" w:ascii="宋体" w:hAnsi="宋体"/>
        </w:rPr>
        <w:t>与合同有关的通知、批准、证明、证书、指示、要求、请求、同意、意见、确定和决定等，均应采用书面形式。</w:t>
      </w:r>
    </w:p>
    <w:p>
      <w:pPr>
        <w:spacing w:line="360" w:lineRule="auto"/>
        <w:ind w:firstLine="420" w:firstLineChars="200"/>
        <w:jc w:val="left"/>
        <w:rPr>
          <w:rFonts w:ascii="宋体"/>
        </w:rPr>
      </w:pPr>
      <w:r>
        <w:rPr>
          <w:rFonts w:ascii="宋体" w:hAnsi="宋体"/>
        </w:rPr>
        <w:t xml:space="preserve">1.7.2  </w:t>
      </w:r>
      <w:r>
        <w:rPr>
          <w:rFonts w:hint="eastAsia" w:ascii="宋体" w:hAnsi="宋体"/>
        </w:rPr>
        <w:t>第</w:t>
      </w:r>
      <w:r>
        <w:rPr>
          <w:rFonts w:ascii="宋体" w:hAnsi="宋体"/>
        </w:rPr>
        <w:t>1.7.1</w:t>
      </w:r>
      <w:r>
        <w:rPr>
          <w:rFonts w:hint="eastAsia" w:ascii="宋体" w:hAnsi="宋体"/>
        </w:rPr>
        <w:t>项中的通知、批准、证明、证书、指示、要求、请求、同意、意见、确定和决定等来往函件，均应在合同约定的期限内送达指定地点和接收人，并办理签收手续。</w:t>
      </w:r>
    </w:p>
    <w:p>
      <w:pPr>
        <w:spacing w:line="360" w:lineRule="auto"/>
        <w:ind w:firstLine="420" w:firstLineChars="200"/>
        <w:jc w:val="left"/>
        <w:rPr>
          <w:rFonts w:ascii="宋体"/>
        </w:rPr>
      </w:pPr>
      <w:r>
        <w:rPr>
          <w:rFonts w:hint="eastAsia" w:ascii="宋体" w:hAnsi="宋体"/>
        </w:rPr>
        <w:t>（</w:t>
      </w:r>
      <w:r>
        <w:rPr>
          <w:rFonts w:ascii="宋体" w:hAnsi="宋体"/>
        </w:rPr>
        <w:t>1</w:t>
      </w:r>
      <w:r>
        <w:rPr>
          <w:rFonts w:hint="eastAsia" w:ascii="宋体" w:hAnsi="宋体"/>
        </w:rPr>
        <w:t>）联络来往信函的送达期限：合同约定了发出期限的，送达期限为合同约定的发出期限后的</w:t>
      </w:r>
      <w:r>
        <w:rPr>
          <w:rFonts w:ascii="宋体" w:hAnsi="宋体"/>
        </w:rPr>
        <w:t>24</w:t>
      </w:r>
      <w:r>
        <w:rPr>
          <w:rFonts w:hint="eastAsia" w:ascii="宋体" w:hAnsi="宋体"/>
        </w:rPr>
        <w:t>小时内；合同约定了通知、提供或者报送期限的，通知、提供或者报送期限即为送达期限。</w:t>
      </w:r>
    </w:p>
    <w:p>
      <w:pPr>
        <w:spacing w:line="360" w:lineRule="auto"/>
        <w:ind w:firstLine="420" w:firstLineChars="200"/>
        <w:jc w:val="left"/>
        <w:rPr>
          <w:rFonts w:ascii="宋体"/>
        </w:rPr>
      </w:pPr>
      <w:r>
        <w:rPr>
          <w:rFonts w:hint="eastAsia" w:ascii="宋体" w:hAnsi="宋体"/>
        </w:rPr>
        <w:t>（</w:t>
      </w:r>
      <w:r>
        <w:rPr>
          <w:rFonts w:ascii="宋体" w:hAnsi="宋体"/>
        </w:rPr>
        <w:t>2</w:t>
      </w:r>
      <w:r>
        <w:rPr>
          <w:rFonts w:hint="eastAsia" w:ascii="宋体" w:hAnsi="宋体"/>
        </w:rPr>
        <w:t>）发包人指定的接收人和接收地点</w:t>
      </w:r>
      <w:r>
        <w:rPr>
          <w:rFonts w:hint="eastAsia" w:ascii="黑体" w:hAnsi="黑体" w:eastAsia="黑体"/>
        </w:rPr>
        <w:t>见合同条款专用部分</w:t>
      </w:r>
      <w:r>
        <w:rPr>
          <w:rFonts w:hint="eastAsia" w:ascii="宋体" w:hAnsi="宋体"/>
        </w:rPr>
        <w:t>。</w:t>
      </w:r>
    </w:p>
    <w:p>
      <w:pPr>
        <w:spacing w:line="360" w:lineRule="auto"/>
        <w:ind w:firstLine="420" w:firstLineChars="200"/>
        <w:jc w:val="left"/>
        <w:rPr>
          <w:rFonts w:ascii="宋体"/>
        </w:rPr>
      </w:pPr>
      <w:r>
        <w:rPr>
          <w:rFonts w:hint="eastAsia" w:ascii="宋体" w:hAnsi="宋体"/>
        </w:rPr>
        <w:t>（</w:t>
      </w:r>
      <w:r>
        <w:rPr>
          <w:rFonts w:ascii="宋体" w:hAnsi="宋体"/>
        </w:rPr>
        <w:t>3</w:t>
      </w:r>
      <w:r>
        <w:rPr>
          <w:rFonts w:hint="eastAsia" w:ascii="宋体" w:hAnsi="宋体"/>
        </w:rPr>
        <w:t>）监理人指定的接收人和接收地点</w:t>
      </w:r>
      <w:r>
        <w:rPr>
          <w:rFonts w:hint="eastAsia" w:ascii="黑体" w:hAnsi="黑体" w:eastAsia="黑体"/>
        </w:rPr>
        <w:t>见合同条款专用部分</w:t>
      </w:r>
      <w:r>
        <w:rPr>
          <w:rFonts w:hint="eastAsia" w:ascii="宋体" w:hAnsi="宋体"/>
        </w:rPr>
        <w:t>。</w:t>
      </w:r>
    </w:p>
    <w:p>
      <w:pPr>
        <w:spacing w:line="360" w:lineRule="auto"/>
        <w:ind w:firstLine="420" w:firstLineChars="200"/>
        <w:jc w:val="left"/>
        <w:rPr>
          <w:rFonts w:ascii="宋体"/>
        </w:rPr>
      </w:pPr>
      <w:r>
        <w:rPr>
          <w:rFonts w:hint="eastAsia" w:ascii="宋体" w:hAnsi="宋体"/>
        </w:rPr>
        <w:t>（</w:t>
      </w:r>
      <w:r>
        <w:rPr>
          <w:rFonts w:ascii="宋体" w:hAnsi="宋体"/>
        </w:rPr>
        <w:t>4</w:t>
      </w:r>
      <w:r>
        <w:rPr>
          <w:rFonts w:hint="eastAsia" w:ascii="宋体" w:hAnsi="宋体"/>
        </w:rPr>
        <w:t>）承包人指定的接收人为合同协议书中载明的承包人项目经理本人或者项目经理的授权代表。承包人应在收到开工通知后</w:t>
      </w:r>
      <w:r>
        <w:rPr>
          <w:rFonts w:ascii="宋体" w:hAnsi="宋体"/>
        </w:rPr>
        <w:t>7</w:t>
      </w:r>
      <w:r>
        <w:rPr>
          <w:rFonts w:hint="eastAsia" w:ascii="宋体" w:hAnsi="宋体"/>
        </w:rPr>
        <w:t>天内，按照合同条款第</w:t>
      </w:r>
      <w:r>
        <w:rPr>
          <w:rFonts w:ascii="宋体" w:hAnsi="宋体"/>
        </w:rPr>
        <w:t>4.5.4</w:t>
      </w:r>
      <w:r>
        <w:rPr>
          <w:rFonts w:hint="eastAsia" w:ascii="宋体" w:hAnsi="宋体"/>
        </w:rPr>
        <w:t>项的约定，将授权代表其接收来往信函的项目经理的授权代表姓名和授权范围通知监理人。除合同另有约定外，承包人施工场地管理机构的办公地点即为承包人指定的接收地点。</w:t>
      </w:r>
    </w:p>
    <w:p>
      <w:pPr>
        <w:spacing w:line="360" w:lineRule="auto"/>
        <w:ind w:firstLine="420" w:firstLineChars="200"/>
        <w:jc w:val="left"/>
        <w:rPr>
          <w:rFonts w:ascii="宋体"/>
        </w:rPr>
      </w:pPr>
      <w:r>
        <w:rPr>
          <w:rFonts w:hint="eastAsia" w:ascii="宋体" w:hAnsi="宋体"/>
        </w:rPr>
        <w:t>（</w:t>
      </w:r>
      <w:r>
        <w:rPr>
          <w:rFonts w:ascii="宋体" w:hAnsi="宋体"/>
        </w:rPr>
        <w:t>5</w:t>
      </w:r>
      <w:r>
        <w:rPr>
          <w:rFonts w:hint="eastAsia" w:ascii="宋体" w:hAnsi="宋体"/>
        </w:rPr>
        <w:t>）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pPr>
        <w:spacing w:line="360" w:lineRule="auto"/>
        <w:ind w:firstLine="420" w:firstLineChars="200"/>
        <w:jc w:val="left"/>
        <w:rPr>
          <w:rFonts w:ascii="宋体"/>
        </w:rPr>
      </w:pPr>
      <w:r>
        <w:rPr>
          <w:rFonts w:hint="eastAsia" w:ascii="宋体" w:hAnsi="宋体"/>
        </w:rPr>
        <w:t>（</w:t>
      </w:r>
      <w:r>
        <w:rPr>
          <w:rFonts w:ascii="宋体" w:hAnsi="宋体"/>
        </w:rPr>
        <w:t>6</w:t>
      </w:r>
      <w:r>
        <w:rPr>
          <w:rFonts w:hint="eastAsia" w:ascii="宋体" w:hAnsi="宋体"/>
        </w:rP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pPr>
        <w:pStyle w:val="155"/>
        <w:spacing w:before="120" w:after="120"/>
      </w:pPr>
      <w:bookmarkStart w:id="1578" w:name="_Toc152045619"/>
      <w:bookmarkStart w:id="1579" w:name="_Toc483668079"/>
      <w:bookmarkStart w:id="1580" w:name="_Toc117350414"/>
      <w:bookmarkStart w:id="1581" w:name="_Toc490222495"/>
      <w:bookmarkStart w:id="1582" w:name="_Toc338944712"/>
      <w:bookmarkStart w:id="1583" w:name="_Toc152042397"/>
      <w:bookmarkStart w:id="1584" w:name="_Toc480486904"/>
      <w:bookmarkStart w:id="1585" w:name="_Toc489279861"/>
      <w:bookmarkStart w:id="1586" w:name="_Toc486580050"/>
      <w:bookmarkStart w:id="1587" w:name="_Toc480486732"/>
      <w:bookmarkStart w:id="1588" w:name="_Toc144974587"/>
      <w:bookmarkStart w:id="1589" w:name="_Toc342296270"/>
      <w:bookmarkStart w:id="1590" w:name="_Toc179632637"/>
      <w:r>
        <w:t xml:space="preserve">1.8  </w:t>
      </w:r>
      <w:r>
        <w:rPr>
          <w:rFonts w:hint="eastAsia"/>
        </w:rPr>
        <w:t>转让</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pPr>
        <w:spacing w:line="360" w:lineRule="auto"/>
        <w:ind w:firstLine="420" w:firstLineChars="200"/>
        <w:jc w:val="left"/>
        <w:rPr>
          <w:rFonts w:ascii="宋体"/>
        </w:rPr>
      </w:pPr>
      <w:r>
        <w:rPr>
          <w:rFonts w:hint="eastAsia" w:ascii="宋体" w:hAnsi="宋体"/>
        </w:rPr>
        <w:t>除合同另有约定外，未经对方当事人同意，一方当事人不得将合同权利全部或部分转让给第三人，也不得全部或部分转移合同义务。</w:t>
      </w:r>
    </w:p>
    <w:p>
      <w:pPr>
        <w:pStyle w:val="155"/>
        <w:spacing w:before="120" w:after="120"/>
      </w:pPr>
      <w:bookmarkStart w:id="1591" w:name="_Toc490222496"/>
      <w:bookmarkStart w:id="1592" w:name="_Toc117350415"/>
      <w:bookmarkStart w:id="1593" w:name="_Toc152045620"/>
      <w:bookmarkStart w:id="1594" w:name="_Toc179632638"/>
      <w:bookmarkStart w:id="1595" w:name="_Toc342296271"/>
      <w:bookmarkStart w:id="1596" w:name="_Toc483668080"/>
      <w:bookmarkStart w:id="1597" w:name="_Toc144974588"/>
      <w:bookmarkStart w:id="1598" w:name="_Toc338944713"/>
      <w:bookmarkStart w:id="1599" w:name="_Toc480486733"/>
      <w:bookmarkStart w:id="1600" w:name="_Toc486580051"/>
      <w:bookmarkStart w:id="1601" w:name="_Toc480486905"/>
      <w:bookmarkStart w:id="1602" w:name="_Toc152042398"/>
      <w:bookmarkStart w:id="1603" w:name="_Toc489279862"/>
      <w:r>
        <w:t xml:space="preserve">1.9  </w:t>
      </w:r>
      <w:r>
        <w:rPr>
          <w:rFonts w:hint="eastAsia"/>
        </w:rPr>
        <w:t>严禁贿赂</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pPr>
        <w:spacing w:line="360" w:lineRule="auto"/>
        <w:ind w:firstLine="420" w:firstLineChars="200"/>
        <w:jc w:val="left"/>
        <w:rPr>
          <w:rFonts w:ascii="宋体"/>
        </w:rPr>
      </w:pPr>
      <w:r>
        <w:rPr>
          <w:rFonts w:hint="eastAsia" w:ascii="宋体" w:hAnsi="宋体"/>
        </w:rPr>
        <w:t>合同双方当事人不得以贿赂或变相贿赂的方式，谋取不当利益或损害对方权益。因贿赂造成对方损失的，行为人应赔偿损失，并承担相应的法律责任。</w:t>
      </w:r>
    </w:p>
    <w:p>
      <w:pPr>
        <w:pStyle w:val="155"/>
        <w:spacing w:before="120" w:after="120"/>
      </w:pPr>
      <w:bookmarkStart w:id="1604" w:name="_Toc483668081"/>
      <w:bookmarkStart w:id="1605" w:name="_Toc152042399"/>
      <w:bookmarkStart w:id="1606" w:name="_Toc489279863"/>
      <w:bookmarkStart w:id="1607" w:name="_Toc144974589"/>
      <w:bookmarkStart w:id="1608" w:name="_Toc480486734"/>
      <w:bookmarkStart w:id="1609" w:name="_Toc480486906"/>
      <w:bookmarkStart w:id="1610" w:name="_Toc117350416"/>
      <w:bookmarkStart w:id="1611" w:name="_Toc342296272"/>
      <w:bookmarkStart w:id="1612" w:name="_Toc486580052"/>
      <w:bookmarkStart w:id="1613" w:name="_Toc490222497"/>
      <w:bookmarkStart w:id="1614" w:name="_Toc152045621"/>
      <w:bookmarkStart w:id="1615" w:name="_Toc338944714"/>
      <w:bookmarkStart w:id="1616" w:name="_Toc179632639"/>
      <w:r>
        <w:t xml:space="preserve">1.10  </w:t>
      </w:r>
      <w:r>
        <w:rPr>
          <w:rFonts w:hint="eastAsia"/>
        </w:rPr>
        <w:t>化石、文物</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pPr>
        <w:spacing w:line="360" w:lineRule="auto"/>
        <w:ind w:firstLine="420" w:firstLineChars="200"/>
        <w:jc w:val="left"/>
        <w:rPr>
          <w:rFonts w:ascii="宋体"/>
        </w:rPr>
      </w:pPr>
      <w:r>
        <w:rPr>
          <w:rFonts w:ascii="宋体" w:hAnsi="宋体"/>
        </w:rPr>
        <w:t xml:space="preserve">1.10.1  </w:t>
      </w:r>
      <w:r>
        <w:rPr>
          <w:rFonts w:hint="eastAsia" w:ascii="宋体" w:hAnsi="宋体"/>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jc w:val="left"/>
        <w:rPr>
          <w:rFonts w:ascii="宋体"/>
        </w:rPr>
      </w:pPr>
      <w:r>
        <w:rPr>
          <w:rFonts w:ascii="宋体" w:hAnsi="宋体"/>
        </w:rPr>
        <w:t xml:space="preserve">1.10.2  </w:t>
      </w:r>
      <w:r>
        <w:rPr>
          <w:rFonts w:hint="eastAsia" w:ascii="宋体" w:hAnsi="宋体"/>
        </w:rPr>
        <w:t>承包人发现文物后不及时报告或隐瞒不报，致使文物丢失或损坏的，应赔偿损失，并承担相应的法律责任。</w:t>
      </w:r>
    </w:p>
    <w:p>
      <w:pPr>
        <w:pStyle w:val="155"/>
        <w:spacing w:before="120" w:after="120"/>
      </w:pPr>
      <w:bookmarkStart w:id="1617" w:name="_Toc480486907"/>
      <w:bookmarkStart w:id="1618" w:name="_Toc179632640"/>
      <w:bookmarkStart w:id="1619" w:name="_Toc483668082"/>
      <w:bookmarkStart w:id="1620" w:name="_Toc486580053"/>
      <w:bookmarkStart w:id="1621" w:name="_Toc152045622"/>
      <w:bookmarkStart w:id="1622" w:name="_Toc152042400"/>
      <w:bookmarkStart w:id="1623" w:name="_Toc489279864"/>
      <w:bookmarkStart w:id="1624" w:name="_Toc342296273"/>
      <w:bookmarkStart w:id="1625" w:name="_Toc490222498"/>
      <w:bookmarkStart w:id="1626" w:name="_Toc144974590"/>
      <w:bookmarkStart w:id="1627" w:name="_Toc338944715"/>
      <w:bookmarkStart w:id="1628" w:name="_Toc117350417"/>
      <w:bookmarkStart w:id="1629" w:name="_Toc480486735"/>
      <w:r>
        <w:t xml:space="preserve">1.11  </w:t>
      </w:r>
      <w:r>
        <w:rPr>
          <w:rFonts w:hint="eastAsia"/>
        </w:rPr>
        <w:t>专利技术</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pPr>
        <w:spacing w:line="360" w:lineRule="auto"/>
        <w:ind w:firstLine="420" w:firstLineChars="200"/>
        <w:jc w:val="left"/>
        <w:rPr>
          <w:rFonts w:ascii="宋体"/>
        </w:rPr>
      </w:pPr>
      <w:r>
        <w:rPr>
          <w:rFonts w:ascii="宋体" w:hAnsi="宋体"/>
        </w:rPr>
        <w:t xml:space="preserve">1.11.1  </w:t>
      </w:r>
      <w:r>
        <w:rPr>
          <w:rFonts w:hint="eastAsia" w:ascii="宋体" w:hAnsi="宋体"/>
        </w:rPr>
        <w:t>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jc w:val="left"/>
        <w:rPr>
          <w:rFonts w:ascii="宋体"/>
        </w:rPr>
      </w:pPr>
      <w:r>
        <w:rPr>
          <w:rFonts w:ascii="宋体" w:hAnsi="宋体"/>
        </w:rPr>
        <w:t xml:space="preserve">1.11.2  </w:t>
      </w:r>
      <w:r>
        <w:rPr>
          <w:rFonts w:hint="eastAsia" w:ascii="宋体" w:hAnsi="宋体"/>
        </w:rPr>
        <w:t>承包人在投标文件中采用专利技术的，专利技术的使用费包含在投标报价内。</w:t>
      </w:r>
    </w:p>
    <w:p>
      <w:pPr>
        <w:spacing w:line="360" w:lineRule="auto"/>
        <w:ind w:firstLine="420" w:firstLineChars="200"/>
        <w:jc w:val="left"/>
        <w:rPr>
          <w:rFonts w:ascii="宋体"/>
        </w:rPr>
      </w:pPr>
      <w:r>
        <w:rPr>
          <w:rFonts w:ascii="宋体" w:hAnsi="宋体"/>
        </w:rPr>
        <w:t xml:space="preserve">1.11.3  </w:t>
      </w:r>
      <w:r>
        <w:rPr>
          <w:rFonts w:hint="eastAsia" w:ascii="宋体" w:hAnsi="宋体"/>
        </w:rPr>
        <w:t>承包人的技术秘密和声明需要保密的资料和信息，发包人和监理人不得为合同以外的目的泄露给他人。</w:t>
      </w:r>
    </w:p>
    <w:p>
      <w:pPr>
        <w:pStyle w:val="155"/>
        <w:spacing w:before="120" w:after="120"/>
      </w:pPr>
      <w:bookmarkStart w:id="1630" w:name="_Toc338944716"/>
      <w:bookmarkStart w:id="1631" w:name="_Toc480486908"/>
      <w:bookmarkStart w:id="1632" w:name="_Toc117350418"/>
      <w:bookmarkStart w:id="1633" w:name="_Toc490222499"/>
      <w:bookmarkStart w:id="1634" w:name="_Toc144974591"/>
      <w:bookmarkStart w:id="1635" w:name="_Toc179632641"/>
      <w:bookmarkStart w:id="1636" w:name="_Toc480486736"/>
      <w:bookmarkStart w:id="1637" w:name="_Toc489279865"/>
      <w:bookmarkStart w:id="1638" w:name="_Toc483668083"/>
      <w:bookmarkStart w:id="1639" w:name="_Toc342296274"/>
      <w:bookmarkStart w:id="1640" w:name="_Toc152045623"/>
      <w:bookmarkStart w:id="1641" w:name="_Toc486580054"/>
      <w:bookmarkStart w:id="1642" w:name="_Toc152042401"/>
      <w:r>
        <w:t xml:space="preserve">1.12  </w:t>
      </w:r>
      <w:r>
        <w:rPr>
          <w:rFonts w:hint="eastAsia"/>
        </w:rPr>
        <w:t>图纸和文件的保密</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pPr>
        <w:spacing w:line="360" w:lineRule="auto"/>
        <w:ind w:firstLine="420" w:firstLineChars="200"/>
        <w:jc w:val="left"/>
        <w:rPr>
          <w:rFonts w:ascii="宋体"/>
        </w:rPr>
      </w:pPr>
      <w:r>
        <w:rPr>
          <w:rFonts w:ascii="宋体" w:hAnsi="宋体"/>
        </w:rPr>
        <w:t xml:space="preserve">1.12.1  </w:t>
      </w:r>
      <w:r>
        <w:rPr>
          <w:rFonts w:hint="eastAsia" w:ascii="宋体" w:hAnsi="宋体"/>
        </w:rPr>
        <w:t>发包人提供的图纸和文件，未经发包人同意，承包人不得为合同以外的目的泄露给他人或公开发表与引用。</w:t>
      </w:r>
    </w:p>
    <w:p>
      <w:pPr>
        <w:spacing w:line="360" w:lineRule="auto"/>
        <w:ind w:firstLine="420" w:firstLineChars="200"/>
        <w:jc w:val="left"/>
        <w:rPr>
          <w:rFonts w:ascii="宋体"/>
        </w:rPr>
      </w:pPr>
      <w:r>
        <w:rPr>
          <w:rFonts w:ascii="宋体" w:hAnsi="宋体"/>
        </w:rPr>
        <w:t xml:space="preserve">1.12.2  </w:t>
      </w:r>
      <w:r>
        <w:rPr>
          <w:rFonts w:hint="eastAsia" w:ascii="宋体" w:hAnsi="宋体"/>
        </w:rPr>
        <w:t>承包人提供的文件，未经承包人同意，发包人和监理人不得为合同以外的目的泄露给他人或公开发表与引用。</w:t>
      </w:r>
    </w:p>
    <w:p>
      <w:pPr>
        <w:pStyle w:val="144"/>
        <w:spacing w:before="120" w:after="120"/>
      </w:pPr>
      <w:bookmarkStart w:id="1643" w:name="_Toc483668084"/>
      <w:bookmarkStart w:id="1644" w:name="_Toc490222500"/>
      <w:bookmarkStart w:id="1645" w:name="_Toc480486737"/>
      <w:bookmarkStart w:id="1646" w:name="_Toc338944717"/>
      <w:bookmarkStart w:id="1647" w:name="_Toc489279866"/>
      <w:bookmarkStart w:id="1648" w:name="_Toc486580055"/>
      <w:bookmarkStart w:id="1649" w:name="_Toc342296275"/>
      <w:bookmarkStart w:id="1650" w:name="_Toc480486909"/>
      <w:bookmarkStart w:id="1651" w:name="_Toc117350419"/>
      <w:r>
        <w:t>2.</w:t>
      </w:r>
      <w:r>
        <w:rPr>
          <w:rFonts w:hint="eastAsia"/>
        </w:rPr>
        <w:t>发包人义务</w:t>
      </w:r>
      <w:bookmarkEnd w:id="1643"/>
      <w:bookmarkEnd w:id="1644"/>
      <w:bookmarkEnd w:id="1645"/>
      <w:bookmarkEnd w:id="1646"/>
      <w:bookmarkEnd w:id="1647"/>
      <w:bookmarkEnd w:id="1648"/>
      <w:bookmarkEnd w:id="1649"/>
      <w:bookmarkEnd w:id="1650"/>
      <w:bookmarkEnd w:id="1651"/>
    </w:p>
    <w:p>
      <w:pPr>
        <w:pStyle w:val="155"/>
        <w:spacing w:before="120" w:after="120"/>
      </w:pPr>
      <w:bookmarkStart w:id="1652" w:name="_Toc152042403"/>
      <w:bookmarkStart w:id="1653" w:name="_Toc480486738"/>
      <w:bookmarkStart w:id="1654" w:name="_Toc144974593"/>
      <w:bookmarkStart w:id="1655" w:name="_Toc152045625"/>
      <w:bookmarkStart w:id="1656" w:name="_Toc179632643"/>
      <w:bookmarkStart w:id="1657" w:name="_Toc117350420"/>
      <w:bookmarkStart w:id="1658" w:name="_Toc483668085"/>
      <w:bookmarkStart w:id="1659" w:name="_Toc338944718"/>
      <w:bookmarkStart w:id="1660" w:name="_Toc486580056"/>
      <w:bookmarkStart w:id="1661" w:name="_Toc342296276"/>
      <w:bookmarkStart w:id="1662" w:name="_Toc489279867"/>
      <w:bookmarkStart w:id="1663" w:name="_Toc480486910"/>
      <w:bookmarkStart w:id="1664" w:name="_Toc490222501"/>
      <w:r>
        <w:t xml:space="preserve">2.1  </w:t>
      </w:r>
      <w:r>
        <w:rPr>
          <w:rFonts w:hint="eastAsia"/>
        </w:rPr>
        <w:t>遵守法律</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pPr>
        <w:spacing w:line="360" w:lineRule="auto"/>
        <w:ind w:firstLine="420" w:firstLineChars="200"/>
        <w:jc w:val="left"/>
        <w:rPr>
          <w:rFonts w:ascii="宋体"/>
        </w:rPr>
      </w:pPr>
      <w:r>
        <w:rPr>
          <w:rFonts w:hint="eastAsia" w:ascii="宋体" w:hAnsi="宋体"/>
        </w:rPr>
        <w:t>发包人在履行合同过程中应遵守法律，并保证承包人免于承担因发包人违反法律而引起的任何责任。</w:t>
      </w:r>
    </w:p>
    <w:p>
      <w:pPr>
        <w:pStyle w:val="155"/>
        <w:spacing w:before="120" w:after="120"/>
      </w:pPr>
      <w:bookmarkStart w:id="1665" w:name="_Toc179632644"/>
      <w:bookmarkStart w:id="1666" w:name="_Toc152042404"/>
      <w:bookmarkStart w:id="1667" w:name="_Toc480486739"/>
      <w:bookmarkStart w:id="1668" w:name="_Toc489279868"/>
      <w:bookmarkStart w:id="1669" w:name="_Toc117350421"/>
      <w:bookmarkStart w:id="1670" w:name="_Toc483668086"/>
      <w:bookmarkStart w:id="1671" w:name="_Toc480486911"/>
      <w:bookmarkStart w:id="1672" w:name="_Toc342296277"/>
      <w:bookmarkStart w:id="1673" w:name="_Toc338944719"/>
      <w:bookmarkStart w:id="1674" w:name="_Toc152045626"/>
      <w:bookmarkStart w:id="1675" w:name="_Toc486580057"/>
      <w:bookmarkStart w:id="1676" w:name="_Toc144974594"/>
      <w:bookmarkStart w:id="1677" w:name="_Toc490222502"/>
      <w:r>
        <w:t xml:space="preserve">2.2  </w:t>
      </w:r>
      <w:r>
        <w:rPr>
          <w:rFonts w:hint="eastAsia"/>
        </w:rPr>
        <w:t>发出开工通知</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pPr>
        <w:spacing w:line="360" w:lineRule="auto"/>
        <w:ind w:firstLine="420" w:firstLineChars="200"/>
        <w:jc w:val="left"/>
        <w:rPr>
          <w:rFonts w:ascii="宋体"/>
        </w:rPr>
      </w:pPr>
      <w:r>
        <w:rPr>
          <w:rFonts w:hint="eastAsia" w:ascii="宋体" w:hAnsi="宋体"/>
        </w:rPr>
        <w:t>发包人应委托监理人按第</w:t>
      </w:r>
      <w:r>
        <w:rPr>
          <w:rFonts w:ascii="宋体" w:hAnsi="宋体"/>
        </w:rPr>
        <w:t>11.1</w:t>
      </w:r>
      <w:r>
        <w:rPr>
          <w:rFonts w:hint="eastAsia" w:ascii="宋体" w:hAnsi="宋体"/>
        </w:rPr>
        <w:t>款的约定向承包人发出开工通知。</w:t>
      </w:r>
    </w:p>
    <w:p>
      <w:pPr>
        <w:pStyle w:val="155"/>
        <w:spacing w:before="120" w:after="120"/>
      </w:pPr>
      <w:bookmarkStart w:id="1678" w:name="_Toc489279869"/>
      <w:bookmarkStart w:id="1679" w:name="_Toc338944720"/>
      <w:bookmarkStart w:id="1680" w:name="_Toc480486740"/>
      <w:bookmarkStart w:id="1681" w:name="_Toc480486912"/>
      <w:bookmarkStart w:id="1682" w:name="_Toc117350422"/>
      <w:bookmarkStart w:id="1683" w:name="_Toc490222503"/>
      <w:bookmarkStart w:id="1684" w:name="_Toc486580058"/>
      <w:bookmarkStart w:id="1685" w:name="_Toc483668087"/>
      <w:bookmarkStart w:id="1686" w:name="_Toc342296278"/>
      <w:r>
        <w:t xml:space="preserve">2.3  </w:t>
      </w:r>
      <w:r>
        <w:rPr>
          <w:rFonts w:hint="eastAsia"/>
        </w:rPr>
        <w:t>提供施工场地</w:t>
      </w:r>
      <w:bookmarkEnd w:id="1678"/>
      <w:bookmarkEnd w:id="1679"/>
      <w:bookmarkEnd w:id="1680"/>
      <w:bookmarkEnd w:id="1681"/>
      <w:bookmarkEnd w:id="1682"/>
      <w:bookmarkEnd w:id="1683"/>
      <w:bookmarkEnd w:id="1684"/>
      <w:bookmarkEnd w:id="1685"/>
      <w:bookmarkEnd w:id="1686"/>
    </w:p>
    <w:p>
      <w:pPr>
        <w:spacing w:line="360" w:lineRule="auto"/>
        <w:ind w:firstLine="420" w:firstLineChars="200"/>
        <w:jc w:val="left"/>
        <w:rPr>
          <w:rFonts w:ascii="宋体"/>
        </w:rPr>
      </w:pPr>
      <w:r>
        <w:rPr>
          <w:rFonts w:hint="eastAsia" w:ascii="宋体" w:hAnsi="宋体"/>
        </w:rPr>
        <w:t>发包人应在约定期限前确保施工场地具备施工条件并移交给承包人，具体施工条件在</w:t>
      </w:r>
      <w:r>
        <w:rPr>
          <w:rFonts w:ascii="宋体" w:hAnsi="宋体"/>
        </w:rPr>
        <w:t xml:space="preserve"> </w:t>
      </w:r>
      <w:r>
        <w:rPr>
          <w:rFonts w:hint="eastAsia" w:ascii="宋体" w:hAnsi="宋体"/>
        </w:rPr>
        <w:t>“技术标准和要求”第一节“一般要求”中约定。发包人最迟应当在移交施工场地的同时向承包人提供施工场地内地下管线和地下设施等有关资料，并保证资料的真实、准确和完整。发包人移交施工场地的期限</w:t>
      </w:r>
      <w:r>
        <w:rPr>
          <w:rFonts w:hint="eastAsia" w:ascii="黑体" w:hAnsi="黑体" w:eastAsia="黑体"/>
        </w:rPr>
        <w:t>见合同条款专用部分</w:t>
      </w:r>
      <w:r>
        <w:rPr>
          <w:rFonts w:hint="eastAsia" w:ascii="宋体" w:hAnsi="宋体"/>
        </w:rPr>
        <w:t>。</w:t>
      </w:r>
    </w:p>
    <w:p>
      <w:pPr>
        <w:pStyle w:val="155"/>
        <w:spacing w:before="120" w:after="120"/>
      </w:pPr>
      <w:bookmarkStart w:id="1687" w:name="_Toc117350423"/>
      <w:bookmarkStart w:id="1688" w:name="_Toc486580059"/>
      <w:bookmarkStart w:id="1689" w:name="_Toc338944721"/>
      <w:bookmarkStart w:id="1690" w:name="_Toc489279870"/>
      <w:bookmarkStart w:id="1691" w:name="_Toc144974596"/>
      <w:bookmarkStart w:id="1692" w:name="_Toc152042406"/>
      <w:bookmarkStart w:id="1693" w:name="_Toc480486913"/>
      <w:bookmarkStart w:id="1694" w:name="_Toc179632646"/>
      <w:bookmarkStart w:id="1695" w:name="_Toc483668088"/>
      <w:bookmarkStart w:id="1696" w:name="_Toc152045628"/>
      <w:bookmarkStart w:id="1697" w:name="_Toc342296279"/>
      <w:bookmarkStart w:id="1698" w:name="_Toc490222504"/>
      <w:bookmarkStart w:id="1699" w:name="_Toc480486741"/>
      <w:r>
        <w:t xml:space="preserve">2.4  </w:t>
      </w:r>
      <w:r>
        <w:rPr>
          <w:rFonts w:hint="eastAsia"/>
        </w:rPr>
        <w:t>协助承包人办理证件和批件</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pPr>
        <w:spacing w:line="360" w:lineRule="auto"/>
        <w:ind w:firstLine="420" w:firstLineChars="200"/>
        <w:jc w:val="left"/>
        <w:rPr>
          <w:rFonts w:ascii="宋体"/>
        </w:rPr>
      </w:pPr>
      <w:r>
        <w:rPr>
          <w:rFonts w:hint="eastAsia" w:ascii="宋体" w:hAnsi="宋体"/>
        </w:rPr>
        <w:t>发包人应协助承包人办理法律规定的有关施工证件和批件。</w:t>
      </w:r>
    </w:p>
    <w:p>
      <w:pPr>
        <w:pStyle w:val="155"/>
        <w:spacing w:before="120" w:after="120"/>
      </w:pPr>
      <w:bookmarkStart w:id="1700" w:name="_Toc480486742"/>
      <w:bookmarkStart w:id="1701" w:name="_Toc342296280"/>
      <w:bookmarkStart w:id="1702" w:name="_Toc338944722"/>
      <w:bookmarkStart w:id="1703" w:name="_Toc490222505"/>
      <w:bookmarkStart w:id="1704" w:name="_Toc486580060"/>
      <w:bookmarkStart w:id="1705" w:name="_Toc483668089"/>
      <w:bookmarkStart w:id="1706" w:name="_Toc489279871"/>
      <w:bookmarkStart w:id="1707" w:name="_Toc480486914"/>
      <w:bookmarkStart w:id="1708" w:name="_Toc117350424"/>
      <w:r>
        <w:t xml:space="preserve">2.5  </w:t>
      </w:r>
      <w:r>
        <w:rPr>
          <w:rFonts w:hint="eastAsia"/>
        </w:rPr>
        <w:t>组织设计交底</w:t>
      </w:r>
      <w:bookmarkEnd w:id="1700"/>
      <w:bookmarkEnd w:id="1701"/>
      <w:bookmarkEnd w:id="1702"/>
      <w:bookmarkEnd w:id="1703"/>
      <w:bookmarkEnd w:id="1704"/>
      <w:bookmarkEnd w:id="1705"/>
      <w:bookmarkEnd w:id="1706"/>
      <w:bookmarkEnd w:id="1707"/>
      <w:bookmarkEnd w:id="1708"/>
    </w:p>
    <w:p>
      <w:pPr>
        <w:spacing w:line="360" w:lineRule="auto"/>
        <w:ind w:firstLine="420" w:firstLineChars="200"/>
        <w:jc w:val="left"/>
        <w:rPr>
          <w:rFonts w:ascii="宋体"/>
        </w:rPr>
      </w:pPr>
      <w:r>
        <w:rPr>
          <w:rFonts w:hint="eastAsia" w:ascii="宋体" w:hAnsi="宋体"/>
        </w:rPr>
        <w:t>发包人应根据批准的合同进度计划，组织设计单位向承包人进行设计交底。</w:t>
      </w:r>
    </w:p>
    <w:p>
      <w:pPr>
        <w:spacing w:line="360" w:lineRule="auto"/>
        <w:ind w:firstLine="420" w:firstLineChars="200"/>
        <w:jc w:val="left"/>
        <w:rPr>
          <w:rFonts w:ascii="宋体"/>
        </w:rPr>
      </w:pPr>
      <w:r>
        <w:rPr>
          <w:rFonts w:hint="eastAsia" w:ascii="宋体" w:hAnsi="宋体"/>
        </w:rPr>
        <w:t>发包人应在第</w:t>
      </w:r>
      <w:r>
        <w:rPr>
          <w:rFonts w:ascii="宋体" w:hAnsi="宋体"/>
        </w:rPr>
        <w:t>11.1.1</w:t>
      </w:r>
      <w:r>
        <w:rPr>
          <w:rFonts w:hint="eastAsia" w:ascii="宋体" w:hAnsi="宋体"/>
        </w:rPr>
        <w:t>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pPr>
        <w:pStyle w:val="155"/>
        <w:spacing w:before="120" w:after="120"/>
      </w:pPr>
      <w:bookmarkStart w:id="1709" w:name="_Toc338944723"/>
      <w:bookmarkStart w:id="1710" w:name="_Toc489279872"/>
      <w:bookmarkStart w:id="1711" w:name="_Toc480486743"/>
      <w:bookmarkStart w:id="1712" w:name="_Toc342296281"/>
      <w:bookmarkStart w:id="1713" w:name="_Toc490222506"/>
      <w:bookmarkStart w:id="1714" w:name="_Toc480486915"/>
      <w:bookmarkStart w:id="1715" w:name="_Toc483668090"/>
      <w:bookmarkStart w:id="1716" w:name="_Toc486580061"/>
      <w:bookmarkStart w:id="1717" w:name="_Toc117350425"/>
      <w:r>
        <w:t xml:space="preserve">2.6  </w:t>
      </w:r>
      <w:r>
        <w:rPr>
          <w:rFonts w:hint="eastAsia"/>
        </w:rPr>
        <w:t>支付合同价款</w:t>
      </w:r>
      <w:bookmarkEnd w:id="1709"/>
      <w:bookmarkEnd w:id="1710"/>
      <w:bookmarkEnd w:id="1711"/>
      <w:bookmarkEnd w:id="1712"/>
      <w:bookmarkEnd w:id="1713"/>
      <w:bookmarkEnd w:id="1714"/>
      <w:bookmarkEnd w:id="1715"/>
      <w:bookmarkEnd w:id="1716"/>
      <w:bookmarkEnd w:id="1717"/>
    </w:p>
    <w:p>
      <w:pPr>
        <w:spacing w:line="360" w:lineRule="auto"/>
        <w:ind w:firstLine="420" w:firstLineChars="200"/>
        <w:jc w:val="left"/>
        <w:rPr>
          <w:rFonts w:ascii="宋体" w:hAnsi="宋体"/>
        </w:rPr>
      </w:pPr>
      <w:r>
        <w:rPr>
          <w:rFonts w:hint="eastAsia" w:ascii="宋体" w:hAnsi="宋体"/>
        </w:rPr>
        <w:t>发包人应按合同约定向承包人及时支付合同价款。</w:t>
      </w:r>
    </w:p>
    <w:p>
      <w:pPr>
        <w:spacing w:line="360" w:lineRule="auto"/>
        <w:ind w:firstLine="420" w:firstLineChars="200"/>
        <w:jc w:val="left"/>
        <w:rPr>
          <w:rFonts w:ascii="宋体" w:hAnsi="宋体"/>
        </w:rPr>
      </w:pPr>
      <w:bookmarkStart w:id="1718" w:name="_Hlk114648754"/>
      <w:r>
        <w:rPr>
          <w:rFonts w:hint="eastAsia" w:ascii="宋体" w:hAnsi="宋体"/>
        </w:rPr>
        <w:t>发包人应当严格落实人工费用与其他工程款分账管理制度，分解工程价款中的人工费用，及时足额将人工费用拨付到承包人的工资专用账户。</w:t>
      </w:r>
    </w:p>
    <w:bookmarkEnd w:id="1718"/>
    <w:p>
      <w:pPr>
        <w:pStyle w:val="155"/>
        <w:spacing w:before="120" w:after="120"/>
      </w:pPr>
      <w:bookmarkStart w:id="1719" w:name="_Toc152045631"/>
      <w:bookmarkStart w:id="1720" w:name="_Toc486580062"/>
      <w:bookmarkStart w:id="1721" w:name="_Toc480486916"/>
      <w:bookmarkStart w:id="1722" w:name="_Toc152042409"/>
      <w:bookmarkStart w:id="1723" w:name="_Toc338944724"/>
      <w:bookmarkStart w:id="1724" w:name="_Toc179632649"/>
      <w:bookmarkStart w:id="1725" w:name="_Toc489279873"/>
      <w:bookmarkStart w:id="1726" w:name="_Toc490222507"/>
      <w:bookmarkStart w:id="1727" w:name="_Toc480486744"/>
      <w:bookmarkStart w:id="1728" w:name="_Toc342296282"/>
      <w:bookmarkStart w:id="1729" w:name="_Toc144974599"/>
      <w:bookmarkStart w:id="1730" w:name="_Toc483668091"/>
      <w:bookmarkStart w:id="1731" w:name="_Toc117350426"/>
      <w:r>
        <w:t xml:space="preserve">2.7  </w:t>
      </w:r>
      <w:r>
        <w:rPr>
          <w:rFonts w:hint="eastAsia"/>
        </w:rPr>
        <w:t>组织竣工验收</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pPr>
        <w:spacing w:line="360" w:lineRule="auto"/>
        <w:ind w:firstLine="420" w:firstLineChars="200"/>
        <w:jc w:val="left"/>
        <w:rPr>
          <w:rFonts w:ascii="宋体"/>
        </w:rPr>
      </w:pPr>
      <w:r>
        <w:rPr>
          <w:rFonts w:hint="eastAsia" w:ascii="宋体" w:hAnsi="宋体"/>
        </w:rPr>
        <w:t>发包人应按合同约定及时组织竣工验收。</w:t>
      </w:r>
      <w:bookmarkStart w:id="1732" w:name="_Hlk114649206"/>
      <w:r>
        <w:rPr>
          <w:rFonts w:hint="eastAsia" w:ascii="宋体" w:hAnsi="宋体"/>
        </w:rPr>
        <w:t>发包人在组织竣工验收时，应对工程是否符合消防要求进行查验。经查验不符合规定的，发包人不得编制工程竣工验收报告。</w:t>
      </w:r>
    </w:p>
    <w:bookmarkEnd w:id="1732"/>
    <w:p>
      <w:pPr>
        <w:pStyle w:val="155"/>
        <w:spacing w:before="120" w:after="120"/>
      </w:pPr>
      <w:bookmarkStart w:id="1733" w:name="_Toc480486745"/>
      <w:bookmarkStart w:id="1734" w:name="_Toc490222508"/>
      <w:bookmarkStart w:id="1735" w:name="_Toc486580063"/>
      <w:bookmarkStart w:id="1736" w:name="_Toc489279874"/>
      <w:bookmarkStart w:id="1737" w:name="_Toc483668092"/>
      <w:bookmarkStart w:id="1738" w:name="_Toc480486917"/>
      <w:bookmarkStart w:id="1739" w:name="_Toc117350427"/>
      <w:r>
        <w:t xml:space="preserve">2.8  </w:t>
      </w:r>
      <w:r>
        <w:rPr>
          <w:rFonts w:hint="eastAsia"/>
        </w:rPr>
        <w:t>向承包人提交支付担保</w:t>
      </w:r>
      <w:bookmarkEnd w:id="1733"/>
      <w:bookmarkEnd w:id="1734"/>
      <w:bookmarkEnd w:id="1735"/>
      <w:bookmarkEnd w:id="1736"/>
      <w:bookmarkEnd w:id="1737"/>
      <w:bookmarkEnd w:id="1738"/>
      <w:bookmarkEnd w:id="1739"/>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）发包人要求承包人提交履约担保的，除合同条款专用部分另有约定的，在承包人按合同条款第</w:t>
      </w:r>
      <w:r>
        <w:rPr>
          <w:rFonts w:ascii="宋体" w:hAnsi="宋体"/>
          <w:szCs w:val="21"/>
        </w:rPr>
        <w:t>4.2</w:t>
      </w:r>
      <w:r>
        <w:rPr>
          <w:rFonts w:hint="eastAsia" w:ascii="宋体" w:hAnsi="宋体"/>
          <w:szCs w:val="21"/>
        </w:rPr>
        <w:t>款向发包人递交符合合同约定的履约担保的同时，发包人应当按照金额和条件对等的原则和合同文件中规定的格式或者其他经过承包人事先认可的格式向承包人递交一份支付担保。发包人提供支付担保格式</w:t>
      </w:r>
      <w:r>
        <w:rPr>
          <w:rFonts w:hint="eastAsia" w:ascii="黑体" w:hAnsi="黑体" w:eastAsia="黑体"/>
          <w:szCs w:val="21"/>
        </w:rPr>
        <w:t>见合同条款专用部分附件六</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）支付担保的有效期应当自本合同生效之日起至发包人实际支付竣工付款之日止。</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）发包人无法获得一份不带具体截止日期的履约担保，支付担保中应当约定有“变更工程竣工付款支付日期的，保证期间按照变更后的竣工付款支付日期做相应调整”或类似约定的条款。</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）支付担保应当在发包人付清竣工付款之日后</w:t>
      </w:r>
      <w:r>
        <w:rPr>
          <w:rFonts w:ascii="宋体" w:hAnsi="宋体"/>
          <w:szCs w:val="21"/>
        </w:rPr>
        <w:t>28</w:t>
      </w:r>
      <w:r>
        <w:rPr>
          <w:rFonts w:hint="eastAsia" w:ascii="宋体" w:hAnsi="宋体"/>
          <w:szCs w:val="21"/>
        </w:rPr>
        <w:t>天内退还给发包人；承包人不承担发包人与支付担保有关的任何利息或其它类似的费用或者收益。</w:t>
      </w:r>
    </w:p>
    <w:p>
      <w:pPr>
        <w:pStyle w:val="155"/>
        <w:spacing w:before="120" w:after="120"/>
      </w:pPr>
      <w:bookmarkStart w:id="1740" w:name="_Toc486580064"/>
      <w:bookmarkStart w:id="1741" w:name="_Toc490222509"/>
      <w:bookmarkStart w:id="1742" w:name="_Toc480486918"/>
      <w:bookmarkStart w:id="1743" w:name="_Toc483668093"/>
      <w:bookmarkStart w:id="1744" w:name="_Toc489279875"/>
      <w:bookmarkStart w:id="1745" w:name="_Toc480486746"/>
      <w:bookmarkStart w:id="1746" w:name="_Toc117350428"/>
      <w:r>
        <w:t xml:space="preserve">2.9  </w:t>
      </w:r>
      <w:r>
        <w:rPr>
          <w:rFonts w:hint="eastAsia"/>
        </w:rPr>
        <w:t>办理工程质量监督手续</w:t>
      </w:r>
      <w:bookmarkEnd w:id="1740"/>
      <w:bookmarkEnd w:id="1741"/>
      <w:bookmarkEnd w:id="1742"/>
      <w:bookmarkEnd w:id="1743"/>
      <w:bookmarkEnd w:id="1744"/>
      <w:bookmarkEnd w:id="1745"/>
      <w:bookmarkEnd w:id="1746"/>
    </w:p>
    <w:p>
      <w:pPr>
        <w:spacing w:line="360" w:lineRule="auto"/>
        <w:ind w:firstLine="420" w:firstLineChars="200"/>
        <w:jc w:val="left"/>
        <w:rPr>
          <w:rFonts w:ascii="宋体"/>
        </w:rPr>
      </w:pPr>
      <w:r>
        <w:rPr>
          <w:rFonts w:hint="eastAsia" w:ascii="宋体" w:hAnsi="宋体"/>
        </w:rPr>
        <w:t>发包人应按有关规定及时办理工程质量监督手续。</w:t>
      </w:r>
    </w:p>
    <w:p>
      <w:pPr>
        <w:pStyle w:val="155"/>
        <w:spacing w:before="120" w:after="120"/>
      </w:pPr>
      <w:bookmarkStart w:id="1747" w:name="_Toc480486919"/>
      <w:bookmarkStart w:id="1748" w:name="_Toc483668094"/>
      <w:bookmarkStart w:id="1749" w:name="_Toc489279876"/>
      <w:bookmarkStart w:id="1750" w:name="_Toc480486747"/>
      <w:bookmarkStart w:id="1751" w:name="_Toc490222510"/>
      <w:bookmarkStart w:id="1752" w:name="_Toc486580065"/>
      <w:bookmarkStart w:id="1753" w:name="_Toc117350429"/>
      <w:r>
        <w:t xml:space="preserve">2.10  </w:t>
      </w:r>
      <w:r>
        <w:rPr>
          <w:rFonts w:hint="eastAsia"/>
        </w:rPr>
        <w:t>环境保护责任</w:t>
      </w:r>
      <w:bookmarkEnd w:id="1747"/>
      <w:bookmarkEnd w:id="1748"/>
      <w:bookmarkEnd w:id="1749"/>
      <w:bookmarkEnd w:id="1750"/>
      <w:bookmarkEnd w:id="1751"/>
      <w:bookmarkEnd w:id="1752"/>
      <w:bookmarkEnd w:id="1753"/>
    </w:p>
    <w:p>
      <w:pPr>
        <w:spacing w:line="360" w:lineRule="auto"/>
        <w:ind w:firstLine="315" w:firstLineChars="150"/>
        <w:rPr>
          <w:rFonts w:ascii="宋体"/>
          <w:szCs w:val="21"/>
        </w:rPr>
      </w:pPr>
      <w:r>
        <w:rPr>
          <w:rFonts w:ascii="宋体" w:hAnsi="宋体"/>
          <w:szCs w:val="20"/>
        </w:rPr>
        <w:t xml:space="preserve"> </w:t>
      </w:r>
      <w:r>
        <w:rPr>
          <w:rFonts w:hint="eastAsia" w:ascii="宋体" w:hAnsi="宋体"/>
          <w:szCs w:val="20"/>
        </w:rPr>
        <w:t>发包人对建筑垃圾处理、施工扬尘治理以及疫情防控常态化管理负总责。</w:t>
      </w:r>
    </w:p>
    <w:p>
      <w:pPr>
        <w:pStyle w:val="155"/>
        <w:spacing w:before="120" w:after="120"/>
      </w:pPr>
      <w:bookmarkStart w:id="1754" w:name="_Toc480486920"/>
      <w:bookmarkStart w:id="1755" w:name="_Toc489279877"/>
      <w:bookmarkStart w:id="1756" w:name="_Toc483668095"/>
      <w:bookmarkStart w:id="1757" w:name="_Toc117350430"/>
      <w:bookmarkStart w:id="1758" w:name="_Toc490222511"/>
      <w:bookmarkStart w:id="1759" w:name="_Toc480486748"/>
      <w:bookmarkStart w:id="1760" w:name="_Toc486580066"/>
      <w:r>
        <w:t xml:space="preserve">2.11  </w:t>
      </w:r>
      <w:r>
        <w:rPr>
          <w:rFonts w:hint="eastAsia"/>
        </w:rPr>
        <w:t>移交工程档案</w:t>
      </w:r>
      <w:bookmarkEnd w:id="1754"/>
      <w:bookmarkEnd w:id="1755"/>
      <w:bookmarkEnd w:id="1756"/>
      <w:bookmarkEnd w:id="1757"/>
      <w:bookmarkEnd w:id="1758"/>
      <w:bookmarkEnd w:id="1759"/>
      <w:bookmarkEnd w:id="1760"/>
    </w:p>
    <w:p>
      <w:pPr>
        <w:spacing w:line="360" w:lineRule="auto"/>
        <w:ind w:firstLine="420" w:firstLineChars="200"/>
        <w:rPr>
          <w:rFonts w:ascii="宋体"/>
          <w:szCs w:val="20"/>
        </w:rPr>
      </w:pPr>
      <w:r>
        <w:rPr>
          <w:rFonts w:hint="eastAsia" w:ascii="宋体" w:hAnsi="宋体"/>
          <w:szCs w:val="20"/>
        </w:rPr>
        <w:t>发包人应根据建设行政主管部门和（或）城市建设档案管理机构的规定，收集、整理、立卷、归档工程资料，并按规定时间向建设行政主管部门或者城市建设档案管理机构移交规定的工程档案。</w:t>
      </w:r>
    </w:p>
    <w:p>
      <w:pPr>
        <w:pStyle w:val="155"/>
        <w:spacing w:before="120" w:after="120"/>
      </w:pPr>
      <w:bookmarkStart w:id="1761" w:name="_Toc480486749"/>
      <w:bookmarkStart w:id="1762" w:name="_Toc486580067"/>
      <w:bookmarkStart w:id="1763" w:name="_Toc489279878"/>
      <w:bookmarkStart w:id="1764" w:name="_Toc483668096"/>
      <w:bookmarkStart w:id="1765" w:name="_Toc480486921"/>
      <w:bookmarkStart w:id="1766" w:name="_Toc490222512"/>
      <w:bookmarkStart w:id="1767" w:name="_Toc117350431"/>
      <w:r>
        <w:t xml:space="preserve">2.12  </w:t>
      </w:r>
      <w:r>
        <w:rPr>
          <w:rFonts w:hint="eastAsia"/>
        </w:rPr>
        <w:t>批准和确认</w:t>
      </w:r>
      <w:bookmarkEnd w:id="1761"/>
      <w:bookmarkEnd w:id="1762"/>
      <w:bookmarkEnd w:id="1763"/>
      <w:bookmarkEnd w:id="1764"/>
      <w:bookmarkEnd w:id="1765"/>
      <w:bookmarkEnd w:id="1766"/>
      <w:bookmarkEnd w:id="1767"/>
    </w:p>
    <w:p>
      <w:pPr>
        <w:spacing w:line="360" w:lineRule="auto"/>
        <w:ind w:firstLine="420" w:firstLineChars="200"/>
        <w:rPr>
          <w:rFonts w:ascii="宋体"/>
        </w:rPr>
      </w:pPr>
      <w:r>
        <w:rPr>
          <w:rFonts w:hint="eastAsia" w:ascii="宋体" w:hAnsi="宋体"/>
          <w:szCs w:val="20"/>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pPr>
        <w:pStyle w:val="155"/>
        <w:spacing w:before="120" w:after="120"/>
      </w:pPr>
      <w:bookmarkStart w:id="1768" w:name="_Toc480486750"/>
      <w:bookmarkStart w:id="1769" w:name="_Toc490222513"/>
      <w:bookmarkStart w:id="1770" w:name="_Toc483668097"/>
      <w:bookmarkStart w:id="1771" w:name="_Toc342296283"/>
      <w:bookmarkStart w:id="1772" w:name="_Toc489279879"/>
      <w:bookmarkStart w:id="1773" w:name="_Toc338944725"/>
      <w:bookmarkStart w:id="1774" w:name="_Toc480486922"/>
      <w:bookmarkStart w:id="1775" w:name="_Toc486580068"/>
      <w:bookmarkStart w:id="1776" w:name="_Toc117350432"/>
      <w:r>
        <w:t xml:space="preserve">2.13  </w:t>
      </w:r>
      <w:r>
        <w:rPr>
          <w:rFonts w:hint="eastAsia"/>
        </w:rPr>
        <w:t>其他义务</w:t>
      </w:r>
      <w:bookmarkEnd w:id="1768"/>
      <w:bookmarkEnd w:id="1769"/>
      <w:bookmarkEnd w:id="1770"/>
      <w:bookmarkEnd w:id="1771"/>
      <w:bookmarkEnd w:id="1772"/>
      <w:bookmarkEnd w:id="1773"/>
      <w:bookmarkEnd w:id="1774"/>
      <w:bookmarkEnd w:id="1775"/>
      <w:bookmarkEnd w:id="1776"/>
    </w:p>
    <w:p>
      <w:pPr>
        <w:spacing w:line="360" w:lineRule="auto"/>
        <w:ind w:firstLine="420" w:firstLineChars="200"/>
        <w:rPr>
          <w:rFonts w:ascii="黑体" w:hAnsi="黑体" w:eastAsia="黑体"/>
          <w:b/>
        </w:rPr>
      </w:pPr>
      <w:r>
        <w:rPr>
          <w:rFonts w:hint="eastAsia" w:ascii="宋体" w:hAnsi="宋体"/>
        </w:rPr>
        <w:t>发包人应履行的其他义务</w:t>
      </w:r>
      <w:r>
        <w:rPr>
          <w:rFonts w:hint="eastAsia" w:ascii="黑体" w:hAnsi="黑体" w:eastAsia="黑体"/>
        </w:rPr>
        <w:t>见合同条款专用部分。</w:t>
      </w:r>
    </w:p>
    <w:p>
      <w:pPr>
        <w:pStyle w:val="144"/>
        <w:spacing w:before="120" w:after="120"/>
      </w:pPr>
      <w:bookmarkStart w:id="1777" w:name="_Toc480486923"/>
      <w:bookmarkStart w:id="1778" w:name="_Toc338944726"/>
      <w:bookmarkStart w:id="1779" w:name="_Toc486580069"/>
      <w:bookmarkStart w:id="1780" w:name="_Toc483668098"/>
      <w:bookmarkStart w:id="1781" w:name="_Toc490222514"/>
      <w:bookmarkStart w:id="1782" w:name="_Toc342296284"/>
      <w:bookmarkStart w:id="1783" w:name="_Toc480486751"/>
      <w:bookmarkStart w:id="1784" w:name="_Toc489279880"/>
      <w:bookmarkStart w:id="1785" w:name="_Toc117350433"/>
      <w:r>
        <w:t>3.</w:t>
      </w:r>
      <w:r>
        <w:rPr>
          <w:rFonts w:hint="eastAsia"/>
        </w:rPr>
        <w:t>监理人</w:t>
      </w:r>
      <w:bookmarkEnd w:id="1777"/>
      <w:bookmarkEnd w:id="1778"/>
      <w:bookmarkEnd w:id="1779"/>
      <w:bookmarkEnd w:id="1780"/>
      <w:bookmarkEnd w:id="1781"/>
      <w:bookmarkEnd w:id="1782"/>
      <w:bookmarkEnd w:id="1783"/>
      <w:bookmarkEnd w:id="1784"/>
      <w:bookmarkEnd w:id="1785"/>
    </w:p>
    <w:p>
      <w:pPr>
        <w:pStyle w:val="155"/>
        <w:spacing w:before="120" w:after="120"/>
      </w:pPr>
      <w:bookmarkStart w:id="1786" w:name="_Toc490222515"/>
      <w:bookmarkStart w:id="1787" w:name="_Toc480486924"/>
      <w:bookmarkStart w:id="1788" w:name="_Toc483668099"/>
      <w:bookmarkStart w:id="1789" w:name="_Toc342296285"/>
      <w:bookmarkStart w:id="1790" w:name="_Toc480486752"/>
      <w:bookmarkStart w:id="1791" w:name="_Toc338944727"/>
      <w:bookmarkStart w:id="1792" w:name="_Toc486580070"/>
      <w:bookmarkStart w:id="1793" w:name="_Toc489279881"/>
      <w:bookmarkStart w:id="1794" w:name="_Toc117350434"/>
      <w:r>
        <w:t xml:space="preserve">3.1  </w:t>
      </w:r>
      <w:r>
        <w:rPr>
          <w:rFonts w:hint="eastAsia"/>
        </w:rPr>
        <w:t>监理人的职责和权力</w:t>
      </w:r>
      <w:bookmarkEnd w:id="1786"/>
      <w:bookmarkEnd w:id="1787"/>
      <w:bookmarkEnd w:id="1788"/>
      <w:bookmarkEnd w:id="1789"/>
      <w:bookmarkEnd w:id="1790"/>
      <w:bookmarkEnd w:id="1791"/>
      <w:bookmarkEnd w:id="1792"/>
      <w:bookmarkEnd w:id="1793"/>
      <w:bookmarkEnd w:id="1794"/>
    </w:p>
    <w:p>
      <w:pPr>
        <w:spacing w:line="360" w:lineRule="auto"/>
        <w:ind w:firstLine="420" w:firstLineChars="200"/>
        <w:rPr>
          <w:rFonts w:ascii="宋体"/>
        </w:rPr>
      </w:pPr>
      <w:r>
        <w:rPr>
          <w:rFonts w:ascii="宋体" w:hAnsi="宋体"/>
        </w:rPr>
        <w:t xml:space="preserve">3.1.1  </w:t>
      </w:r>
      <w:r>
        <w:rPr>
          <w:rFonts w:hint="eastAsia" w:ascii="宋体" w:hAnsi="宋体"/>
        </w:rPr>
        <w:t>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w:t>
      </w:r>
      <w:r>
        <w:rPr>
          <w:rFonts w:hint="eastAsia" w:ascii="宋体" w:hAnsi="宋体"/>
          <w:szCs w:val="21"/>
        </w:rPr>
        <w:t>。发包人需批准明确行使的权力</w:t>
      </w:r>
      <w:r>
        <w:rPr>
          <w:rFonts w:hint="eastAsia" w:ascii="黑体" w:hAnsi="黑体" w:eastAsia="黑体"/>
          <w:szCs w:val="21"/>
        </w:rPr>
        <w:t>见</w:t>
      </w:r>
      <w:r>
        <w:rPr>
          <w:rFonts w:hint="eastAsia" w:ascii="黑体" w:hAnsi="黑体" w:eastAsia="黑体"/>
        </w:rPr>
        <w:t>合同条款专用部分。</w:t>
      </w:r>
    </w:p>
    <w:p>
      <w:pPr>
        <w:spacing w:line="360" w:lineRule="auto"/>
        <w:ind w:firstLine="420" w:firstLineChars="200"/>
        <w:rPr>
          <w:rFonts w:ascii="宋体"/>
        </w:rPr>
      </w:pPr>
      <w:r>
        <w:rPr>
          <w:rFonts w:ascii="宋体" w:hAnsi="宋体"/>
        </w:rPr>
        <w:t xml:space="preserve">3.1.2  </w:t>
      </w:r>
      <w:r>
        <w:rPr>
          <w:rFonts w:hint="eastAsia" w:ascii="宋体" w:hAnsi="宋体"/>
        </w:rPr>
        <w:t>监理人发出的任何指示应视为已得到发包人的批准，但监理人无权免除或变更合同约定的发包人和承包人的权利、义务和责任。</w:t>
      </w:r>
    </w:p>
    <w:p>
      <w:pPr>
        <w:spacing w:line="360" w:lineRule="auto"/>
        <w:ind w:firstLine="420" w:firstLineChars="200"/>
        <w:rPr>
          <w:rFonts w:ascii="宋体"/>
        </w:rPr>
      </w:pPr>
      <w:r>
        <w:rPr>
          <w:rFonts w:ascii="宋体" w:hAnsi="宋体"/>
        </w:rPr>
        <w:t xml:space="preserve">3.1.3  </w:t>
      </w:r>
      <w:r>
        <w:rPr>
          <w:rFonts w:hint="eastAsia" w:ascii="宋体" w:hAnsi="宋体"/>
        </w:rPr>
        <w:t>合同约定应由承包人承担的义务和责任，不因监理人对承包人提交文件的审查或批准，对工程、材料和设备的检查和检验，以及为实施监理作出的指示等职务行为而减轻或解除。</w:t>
      </w:r>
    </w:p>
    <w:p>
      <w:pPr>
        <w:spacing w:line="360" w:lineRule="auto"/>
        <w:ind w:firstLine="420" w:firstLineChars="200"/>
        <w:rPr>
          <w:rFonts w:ascii="宋体"/>
        </w:rPr>
      </w:pPr>
      <w:r>
        <w:rPr>
          <w:rFonts w:ascii="宋体" w:hAnsi="宋体"/>
        </w:rPr>
        <w:t>3.1.4</w:t>
      </w:r>
      <w:r>
        <w:rPr>
          <w:rFonts w:hint="eastAsia" w:ascii="宋体" w:hAnsi="宋体"/>
        </w:rPr>
        <w:t xml:space="preserve">  监理人负责审查施工现场疫情常态化防控工作方案，检查落实情况并提出合理化建议。</w:t>
      </w:r>
    </w:p>
    <w:p>
      <w:pPr>
        <w:pStyle w:val="155"/>
        <w:spacing w:before="120" w:after="120"/>
      </w:pPr>
      <w:bookmarkStart w:id="1795" w:name="_Toc144974603"/>
      <w:bookmarkStart w:id="1796" w:name="_Toc342296286"/>
      <w:bookmarkStart w:id="1797" w:name="_Toc483668100"/>
      <w:bookmarkStart w:id="1798" w:name="_Toc152045635"/>
      <w:bookmarkStart w:id="1799" w:name="_Toc338944728"/>
      <w:bookmarkStart w:id="1800" w:name="_Toc152042413"/>
      <w:bookmarkStart w:id="1801" w:name="_Toc486580071"/>
      <w:bookmarkStart w:id="1802" w:name="_Toc480486925"/>
      <w:bookmarkStart w:id="1803" w:name="_Toc489279882"/>
      <w:bookmarkStart w:id="1804" w:name="_Toc179632653"/>
      <w:bookmarkStart w:id="1805" w:name="_Toc490222516"/>
      <w:bookmarkStart w:id="1806" w:name="_Toc480486753"/>
      <w:bookmarkStart w:id="1807" w:name="_Toc117350435"/>
      <w:r>
        <w:t xml:space="preserve">3.2  </w:t>
      </w:r>
      <w:r>
        <w:rPr>
          <w:rFonts w:hint="eastAsia"/>
        </w:rPr>
        <w:t>总监理工程师</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pPr>
        <w:spacing w:line="360" w:lineRule="auto"/>
        <w:ind w:firstLine="420" w:firstLineChars="200"/>
        <w:rPr>
          <w:rFonts w:ascii="宋体"/>
        </w:rPr>
      </w:pPr>
      <w:r>
        <w:rPr>
          <w:rFonts w:hint="eastAsia" w:ascii="宋体" w:hAnsi="宋体"/>
        </w:rPr>
        <w:t>发包人应在发出开工通知前将总监理工程师的任命通知承包人。总监理工程师更换时，应在调离</w:t>
      </w:r>
      <w:r>
        <w:rPr>
          <w:rFonts w:ascii="宋体" w:hAnsi="宋体"/>
        </w:rPr>
        <w:t>14</w:t>
      </w:r>
      <w:r>
        <w:rPr>
          <w:rFonts w:hint="eastAsia" w:ascii="宋体" w:hAnsi="宋体"/>
        </w:rPr>
        <w:t>天前通知承包人。总监理工程师短期离开施工场地的，应委派代表代行其职责，并通知承包人。</w:t>
      </w:r>
    </w:p>
    <w:p>
      <w:pPr>
        <w:pStyle w:val="155"/>
        <w:spacing w:before="120" w:after="120"/>
      </w:pPr>
      <w:bookmarkStart w:id="1808" w:name="_Toc486580072"/>
      <w:bookmarkStart w:id="1809" w:name="_Toc489279883"/>
      <w:bookmarkStart w:id="1810" w:name="_Toc483668101"/>
      <w:bookmarkStart w:id="1811" w:name="_Toc342296287"/>
      <w:bookmarkStart w:id="1812" w:name="_Toc480486926"/>
      <w:bookmarkStart w:id="1813" w:name="_Toc480486754"/>
      <w:bookmarkStart w:id="1814" w:name="_Toc338944729"/>
      <w:bookmarkStart w:id="1815" w:name="_Toc490222517"/>
      <w:bookmarkStart w:id="1816" w:name="_Toc117350436"/>
      <w:r>
        <w:t xml:space="preserve">3.3  </w:t>
      </w:r>
      <w:r>
        <w:rPr>
          <w:rFonts w:hint="eastAsia"/>
        </w:rPr>
        <w:t>监理人员</w:t>
      </w:r>
      <w:bookmarkEnd w:id="1808"/>
      <w:bookmarkEnd w:id="1809"/>
      <w:bookmarkEnd w:id="1810"/>
      <w:bookmarkEnd w:id="1811"/>
      <w:bookmarkEnd w:id="1812"/>
      <w:bookmarkEnd w:id="1813"/>
      <w:bookmarkEnd w:id="1814"/>
      <w:bookmarkEnd w:id="1815"/>
      <w:bookmarkEnd w:id="1816"/>
    </w:p>
    <w:p>
      <w:pPr>
        <w:spacing w:line="360" w:lineRule="auto"/>
        <w:ind w:firstLine="420" w:firstLineChars="200"/>
        <w:rPr>
          <w:rFonts w:ascii="宋体"/>
        </w:rPr>
      </w:pPr>
      <w:r>
        <w:rPr>
          <w:rFonts w:ascii="宋体" w:hAnsi="宋体"/>
        </w:rPr>
        <w:t xml:space="preserve">3.3.1  </w:t>
      </w:r>
      <w:r>
        <w:rPr>
          <w:rFonts w:hint="eastAsia" w:ascii="宋体" w:hAnsi="宋体"/>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360" w:lineRule="auto"/>
        <w:ind w:firstLine="420" w:firstLineChars="200"/>
        <w:rPr>
          <w:rFonts w:ascii="宋体"/>
        </w:rPr>
      </w:pPr>
      <w:r>
        <w:rPr>
          <w:rFonts w:ascii="宋体" w:hAnsi="宋体"/>
        </w:rPr>
        <w:t xml:space="preserve">3.3.2  </w:t>
      </w:r>
      <w:r>
        <w:rPr>
          <w:rFonts w:hint="eastAsia" w:ascii="宋体" w:hAnsi="宋体"/>
        </w:rPr>
        <w:t>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rFonts w:ascii="宋体"/>
        </w:rPr>
      </w:pPr>
      <w:r>
        <w:rPr>
          <w:rFonts w:ascii="宋体" w:hAnsi="宋体"/>
        </w:rPr>
        <w:t xml:space="preserve">3.3.3  </w:t>
      </w:r>
      <w:r>
        <w:rPr>
          <w:rFonts w:hint="eastAsia" w:ascii="宋体" w:hAnsi="宋体"/>
        </w:rPr>
        <w:t>承包人对总监理工程师授权的监理人员发出的指示有疑问的，可向总监理工程师提出书面异议，总监理工程师应在</w:t>
      </w:r>
      <w:r>
        <w:rPr>
          <w:rFonts w:ascii="宋体" w:hAnsi="宋体"/>
        </w:rPr>
        <w:t>48</w:t>
      </w:r>
      <w:r>
        <w:rPr>
          <w:rFonts w:hint="eastAsia" w:ascii="宋体" w:hAnsi="宋体"/>
        </w:rPr>
        <w:t>小时内对该指示予以确认、更改或撤销。</w:t>
      </w:r>
    </w:p>
    <w:p>
      <w:pPr>
        <w:spacing w:line="360" w:lineRule="auto"/>
        <w:ind w:firstLine="420" w:firstLineChars="200"/>
        <w:rPr>
          <w:rFonts w:ascii="宋体"/>
        </w:rPr>
      </w:pPr>
      <w:r>
        <w:rPr>
          <w:rFonts w:ascii="宋体" w:hAnsi="宋体"/>
        </w:rPr>
        <w:t xml:space="preserve">3.3.4  </w:t>
      </w:r>
      <w:r>
        <w:rPr>
          <w:rFonts w:hint="eastAsia" w:ascii="宋体" w:hAnsi="宋体"/>
          <w:szCs w:val="21"/>
        </w:rPr>
        <w:t>总监理工程师不应将合同条款通用部分第</w:t>
      </w:r>
      <w:r>
        <w:rPr>
          <w:rFonts w:ascii="宋体" w:hAnsi="宋体"/>
          <w:szCs w:val="21"/>
        </w:rPr>
        <w:t>3.5</w:t>
      </w:r>
      <w:r>
        <w:rPr>
          <w:rFonts w:hint="eastAsia" w:ascii="宋体" w:hAnsi="宋体"/>
          <w:szCs w:val="21"/>
        </w:rPr>
        <w:t>款约定应由总监理工程师作出确定的权力授权或者委托给其他监理人员。</w:t>
      </w:r>
    </w:p>
    <w:p>
      <w:pPr>
        <w:pStyle w:val="155"/>
        <w:spacing w:before="120" w:after="120"/>
      </w:pPr>
      <w:bookmarkStart w:id="1817" w:name="_Toc480486755"/>
      <w:bookmarkStart w:id="1818" w:name="_Toc480486927"/>
      <w:bookmarkStart w:id="1819" w:name="_Toc338944730"/>
      <w:bookmarkStart w:id="1820" w:name="_Toc483668102"/>
      <w:bookmarkStart w:id="1821" w:name="_Toc490222518"/>
      <w:bookmarkStart w:id="1822" w:name="_Toc486580073"/>
      <w:bookmarkStart w:id="1823" w:name="_Toc342296288"/>
      <w:bookmarkStart w:id="1824" w:name="_Toc489279884"/>
      <w:bookmarkStart w:id="1825" w:name="_Toc117350437"/>
      <w:r>
        <w:t xml:space="preserve">3.4  </w:t>
      </w:r>
      <w:r>
        <w:rPr>
          <w:rFonts w:hint="eastAsia"/>
        </w:rPr>
        <w:t>监理人的指示</w:t>
      </w:r>
      <w:bookmarkEnd w:id="1817"/>
      <w:bookmarkEnd w:id="1818"/>
      <w:bookmarkEnd w:id="1819"/>
      <w:bookmarkEnd w:id="1820"/>
      <w:bookmarkEnd w:id="1821"/>
      <w:bookmarkEnd w:id="1822"/>
      <w:bookmarkEnd w:id="1823"/>
      <w:bookmarkEnd w:id="1824"/>
      <w:bookmarkEnd w:id="1825"/>
    </w:p>
    <w:p>
      <w:pPr>
        <w:spacing w:line="360" w:lineRule="auto"/>
        <w:ind w:firstLine="420" w:firstLineChars="200"/>
        <w:rPr>
          <w:rFonts w:ascii="宋体"/>
        </w:rPr>
      </w:pPr>
      <w:r>
        <w:rPr>
          <w:rFonts w:ascii="宋体" w:hAnsi="宋体"/>
        </w:rPr>
        <w:t xml:space="preserve">3.4.1  </w:t>
      </w:r>
      <w:r>
        <w:rPr>
          <w:rFonts w:hint="eastAsia" w:ascii="宋体" w:hAnsi="宋体"/>
        </w:rPr>
        <w:t>监理人应按第</w:t>
      </w:r>
      <w:r>
        <w:rPr>
          <w:rFonts w:ascii="宋体" w:hAnsi="宋体"/>
        </w:rPr>
        <w:t>3.1</w:t>
      </w:r>
      <w:r>
        <w:rPr>
          <w:rFonts w:hint="eastAsia" w:ascii="宋体" w:hAnsi="宋体"/>
        </w:rPr>
        <w:t>款的约定向承包人发出指示，监理人的指示应加盖监理人授权的施工场地机构章，并由总监理工程师或总监理工程师按第</w:t>
      </w:r>
      <w:r>
        <w:rPr>
          <w:rFonts w:ascii="宋体" w:hAnsi="宋体"/>
        </w:rPr>
        <w:t>3.3.1</w:t>
      </w:r>
      <w:r>
        <w:rPr>
          <w:rFonts w:hint="eastAsia" w:ascii="宋体" w:hAnsi="宋体"/>
        </w:rPr>
        <w:t>项约定授权的监理人员签字。</w:t>
      </w:r>
    </w:p>
    <w:p>
      <w:pPr>
        <w:spacing w:line="360" w:lineRule="auto"/>
        <w:ind w:firstLine="420" w:firstLineChars="200"/>
        <w:rPr>
          <w:rFonts w:ascii="宋体"/>
        </w:rPr>
      </w:pPr>
      <w:r>
        <w:rPr>
          <w:rFonts w:ascii="宋体" w:hAnsi="宋体"/>
        </w:rPr>
        <w:t xml:space="preserve">3.4.2  </w:t>
      </w:r>
      <w:r>
        <w:rPr>
          <w:rFonts w:hint="eastAsia" w:ascii="宋体" w:hAnsi="宋体"/>
        </w:rPr>
        <w:t>承包人收到监理人按第</w:t>
      </w:r>
      <w:r>
        <w:rPr>
          <w:rFonts w:ascii="宋体" w:hAnsi="宋体"/>
        </w:rPr>
        <w:t>3.4.1</w:t>
      </w:r>
      <w:r>
        <w:rPr>
          <w:rFonts w:hint="eastAsia" w:ascii="宋体" w:hAnsi="宋体"/>
        </w:rPr>
        <w:t>项作出的指示后，应遵照执行。指示构成变更的，应按第</w:t>
      </w:r>
      <w:r>
        <w:rPr>
          <w:rFonts w:ascii="宋体" w:hAnsi="宋体"/>
        </w:rPr>
        <w:t>15</w:t>
      </w:r>
      <w:r>
        <w:rPr>
          <w:rFonts w:hint="eastAsia" w:ascii="宋体" w:hAnsi="宋体"/>
        </w:rPr>
        <w:t>条处理。</w:t>
      </w:r>
    </w:p>
    <w:p>
      <w:pPr>
        <w:spacing w:line="360" w:lineRule="auto"/>
        <w:ind w:firstLine="420" w:firstLineChars="200"/>
        <w:rPr>
          <w:rFonts w:ascii="宋体"/>
        </w:rPr>
      </w:pPr>
      <w:r>
        <w:rPr>
          <w:rFonts w:ascii="宋体" w:hAnsi="宋体"/>
        </w:rPr>
        <w:t xml:space="preserve">3.4.3  </w:t>
      </w:r>
      <w:r>
        <w:rPr>
          <w:rFonts w:hint="eastAsia" w:ascii="宋体" w:hAnsi="宋体"/>
        </w:rPr>
        <w:t>在紧急情况下，总监理工程师或被授权的监理人员可以当场签发临时书面指示，承包人应遵照执行。承包人应在收到上述临时书面指示后</w:t>
      </w:r>
      <w:r>
        <w:rPr>
          <w:rFonts w:ascii="宋体" w:hAnsi="宋体"/>
        </w:rPr>
        <w:t>24</w:t>
      </w:r>
      <w:r>
        <w:rPr>
          <w:rFonts w:hint="eastAsia" w:ascii="宋体" w:hAnsi="宋体"/>
        </w:rPr>
        <w:t>小时内，向监理人发出书面确认函。监理人在收到书面确认函后</w:t>
      </w:r>
      <w:r>
        <w:rPr>
          <w:rFonts w:ascii="宋体" w:hAnsi="宋体"/>
        </w:rPr>
        <w:t>24</w:t>
      </w:r>
      <w:r>
        <w:rPr>
          <w:rFonts w:hint="eastAsia" w:ascii="宋体" w:hAnsi="宋体"/>
        </w:rPr>
        <w:t>小时内未予答复的，该书面确认函应被视为监理人的正式指示。</w:t>
      </w:r>
    </w:p>
    <w:p>
      <w:pPr>
        <w:spacing w:line="360" w:lineRule="auto"/>
        <w:ind w:firstLine="420" w:firstLineChars="200"/>
        <w:rPr>
          <w:rFonts w:ascii="宋体"/>
        </w:rPr>
      </w:pPr>
      <w:r>
        <w:rPr>
          <w:rFonts w:ascii="宋体" w:hAnsi="宋体"/>
        </w:rPr>
        <w:t xml:space="preserve">3.4.4  </w:t>
      </w:r>
      <w:r>
        <w:rPr>
          <w:rFonts w:hint="eastAsia" w:ascii="宋体" w:hAnsi="宋体"/>
        </w:rPr>
        <w:t>除合同另有约定外，承包人只从总监理工程师或按第</w:t>
      </w:r>
      <w:r>
        <w:rPr>
          <w:rFonts w:ascii="宋体" w:hAnsi="宋体"/>
        </w:rPr>
        <w:t>3.3.1</w:t>
      </w:r>
      <w:r>
        <w:rPr>
          <w:rFonts w:hint="eastAsia" w:ascii="宋体" w:hAnsi="宋体"/>
        </w:rPr>
        <w:t>项被授权的监理人员处取得指示。</w:t>
      </w:r>
    </w:p>
    <w:p>
      <w:pPr>
        <w:spacing w:line="360" w:lineRule="auto"/>
        <w:ind w:firstLine="420" w:firstLineChars="200"/>
        <w:rPr>
          <w:rFonts w:ascii="宋体"/>
        </w:rPr>
      </w:pPr>
      <w:r>
        <w:rPr>
          <w:rFonts w:ascii="宋体" w:hAnsi="宋体"/>
        </w:rPr>
        <w:t xml:space="preserve">3.4.5  </w:t>
      </w:r>
      <w:r>
        <w:rPr>
          <w:rFonts w:hint="eastAsia" w:ascii="宋体" w:hAnsi="宋体"/>
        </w:rPr>
        <w:t>由于监理人未能按合同约定发出指示、指示延误或指示错误而导致承包人费用增加和（或）工期延误的，由发包人承担赔偿责任。</w:t>
      </w:r>
      <w:r>
        <w:rPr>
          <w:rFonts w:ascii="宋体" w:hAnsi="宋体"/>
        </w:rPr>
        <w:t xml:space="preserve"> </w:t>
      </w:r>
    </w:p>
    <w:p>
      <w:pPr>
        <w:pStyle w:val="155"/>
        <w:spacing w:before="120" w:after="120"/>
      </w:pPr>
      <w:bookmarkStart w:id="1826" w:name="_Toc179632656"/>
      <w:bookmarkStart w:id="1827" w:name="_Toc480486928"/>
      <w:bookmarkStart w:id="1828" w:name="_Toc483668103"/>
      <w:bookmarkStart w:id="1829" w:name="_Toc338944731"/>
      <w:bookmarkStart w:id="1830" w:name="_Toc144974606"/>
      <w:bookmarkStart w:id="1831" w:name="_Toc480486756"/>
      <w:bookmarkStart w:id="1832" w:name="_Toc152045638"/>
      <w:bookmarkStart w:id="1833" w:name="_Toc489279885"/>
      <w:bookmarkStart w:id="1834" w:name="_Toc490222519"/>
      <w:bookmarkStart w:id="1835" w:name="_Toc152042416"/>
      <w:bookmarkStart w:id="1836" w:name="_Toc486580074"/>
      <w:bookmarkStart w:id="1837" w:name="_Toc342296289"/>
      <w:bookmarkStart w:id="1838" w:name="_Toc117350438"/>
      <w:r>
        <w:t xml:space="preserve">3.5  </w:t>
      </w:r>
      <w:r>
        <w:rPr>
          <w:rFonts w:hint="eastAsia"/>
        </w:rPr>
        <w:t>商定或确定</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pPr>
        <w:spacing w:line="360" w:lineRule="auto"/>
        <w:ind w:firstLine="420" w:firstLineChars="200"/>
        <w:rPr>
          <w:rFonts w:ascii="宋体"/>
        </w:rPr>
      </w:pPr>
      <w:r>
        <w:rPr>
          <w:rFonts w:ascii="宋体" w:hAnsi="宋体"/>
        </w:rPr>
        <w:t xml:space="preserve">3.5.1  </w:t>
      </w:r>
      <w:r>
        <w:rPr>
          <w:rFonts w:hint="eastAsia" w:ascii="宋体" w:hAnsi="宋体"/>
        </w:rPr>
        <w:t>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rFonts w:ascii="宋体"/>
        </w:rPr>
      </w:pPr>
      <w:r>
        <w:rPr>
          <w:rFonts w:ascii="宋体" w:hAnsi="宋体"/>
        </w:rPr>
        <w:t xml:space="preserve">3.5.2  </w:t>
      </w:r>
      <w:r>
        <w:rPr>
          <w:rFonts w:hint="eastAsia" w:ascii="宋体" w:hAnsi="宋体"/>
        </w:rPr>
        <w:t>总监理工程师应将商定或确定的事项通知合同当事人，并附详细依据。对总监理工程师的确定有异议的，构成争议，按照第</w:t>
      </w:r>
      <w:r>
        <w:rPr>
          <w:rFonts w:ascii="宋体" w:hAnsi="宋体"/>
        </w:rPr>
        <w:t>24</w:t>
      </w:r>
      <w:r>
        <w:rPr>
          <w:rFonts w:hint="eastAsia" w:ascii="宋体" w:hAnsi="宋体"/>
        </w:rPr>
        <w:t>条的约定处理。在争议解决前，双方应暂按总监理工程师的确定执行；按照第</w:t>
      </w:r>
      <w:r>
        <w:rPr>
          <w:rFonts w:ascii="宋体" w:hAnsi="宋体"/>
        </w:rPr>
        <w:t>24</w:t>
      </w:r>
      <w:r>
        <w:rPr>
          <w:rFonts w:hint="eastAsia" w:ascii="宋体" w:hAnsi="宋体"/>
        </w:rPr>
        <w:t>条的约定对总监理工程师的确定需要作出修改的，按修改后的结果执行。</w:t>
      </w:r>
    </w:p>
    <w:p>
      <w:pPr>
        <w:pStyle w:val="155"/>
        <w:spacing w:before="120" w:after="120"/>
      </w:pPr>
      <w:bookmarkStart w:id="1839" w:name="_Toc476479320"/>
      <w:bookmarkStart w:id="1840" w:name="_Toc480486929"/>
      <w:bookmarkStart w:id="1841" w:name="_Toc489279886"/>
      <w:bookmarkStart w:id="1842" w:name="_Toc241459673"/>
      <w:bookmarkStart w:id="1843" w:name="_Toc342296432"/>
      <w:bookmarkStart w:id="1844" w:name="_Toc490222520"/>
      <w:bookmarkStart w:id="1845" w:name="_Toc480486757"/>
      <w:bookmarkStart w:id="1846" w:name="_Toc483668104"/>
      <w:bookmarkStart w:id="1847" w:name="_Toc486580075"/>
      <w:bookmarkStart w:id="1848" w:name="_Toc117350439"/>
      <w:r>
        <w:t xml:space="preserve">3.6  </w:t>
      </w:r>
      <w:r>
        <w:rPr>
          <w:rFonts w:hint="eastAsia"/>
        </w:rPr>
        <w:t>监理人的宽恕</w:t>
      </w:r>
      <w:bookmarkEnd w:id="1839"/>
      <w:bookmarkEnd w:id="1840"/>
      <w:bookmarkEnd w:id="1841"/>
      <w:bookmarkEnd w:id="1842"/>
      <w:bookmarkEnd w:id="1843"/>
      <w:bookmarkEnd w:id="1844"/>
      <w:bookmarkEnd w:id="1845"/>
      <w:bookmarkEnd w:id="1846"/>
      <w:bookmarkEnd w:id="1847"/>
      <w:bookmarkEnd w:id="1848"/>
    </w:p>
    <w:p>
      <w:pPr>
        <w:spacing w:line="360" w:lineRule="auto"/>
        <w:ind w:firstLine="420" w:firstLineChars="200"/>
        <w:rPr>
          <w:rFonts w:ascii="宋体"/>
        </w:rPr>
      </w:pPr>
      <w:r>
        <w:rPr>
          <w:rFonts w:hint="eastAsia" w:ascii="宋体" w:hAnsi="宋体"/>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pPr>
        <w:pStyle w:val="144"/>
        <w:spacing w:before="120" w:after="120"/>
      </w:pPr>
      <w:bookmarkStart w:id="1849" w:name="_Toc338944732"/>
      <w:bookmarkStart w:id="1850" w:name="_Toc342296290"/>
      <w:bookmarkStart w:id="1851" w:name="_Toc480486758"/>
      <w:bookmarkStart w:id="1852" w:name="_Toc483668105"/>
      <w:bookmarkStart w:id="1853" w:name="_Toc480486930"/>
      <w:bookmarkStart w:id="1854" w:name="_Toc489279887"/>
      <w:bookmarkStart w:id="1855" w:name="_Toc486580076"/>
      <w:bookmarkStart w:id="1856" w:name="_Toc490222521"/>
      <w:bookmarkStart w:id="1857" w:name="_Toc117350440"/>
      <w:r>
        <w:t>4.</w:t>
      </w:r>
      <w:r>
        <w:rPr>
          <w:rFonts w:hint="eastAsia"/>
        </w:rPr>
        <w:t>承包人</w:t>
      </w:r>
      <w:bookmarkEnd w:id="1849"/>
      <w:bookmarkEnd w:id="1850"/>
      <w:bookmarkEnd w:id="1851"/>
      <w:bookmarkEnd w:id="1852"/>
      <w:bookmarkEnd w:id="1853"/>
      <w:bookmarkEnd w:id="1854"/>
      <w:bookmarkEnd w:id="1855"/>
      <w:bookmarkEnd w:id="1856"/>
      <w:bookmarkEnd w:id="1857"/>
    </w:p>
    <w:p>
      <w:pPr>
        <w:pStyle w:val="155"/>
        <w:spacing w:before="120" w:after="120"/>
      </w:pPr>
      <w:bookmarkStart w:id="1858" w:name="_Toc480486931"/>
      <w:bookmarkStart w:id="1859" w:name="_Toc342296291"/>
      <w:bookmarkStart w:id="1860" w:name="_Toc338944733"/>
      <w:bookmarkStart w:id="1861" w:name="_Toc486580077"/>
      <w:bookmarkStart w:id="1862" w:name="_Toc489279888"/>
      <w:bookmarkStart w:id="1863" w:name="_Toc490222522"/>
      <w:bookmarkStart w:id="1864" w:name="_Toc480486759"/>
      <w:bookmarkStart w:id="1865" w:name="_Toc483668106"/>
      <w:bookmarkStart w:id="1866" w:name="_Toc117350441"/>
      <w:r>
        <w:t xml:space="preserve">4.1  </w:t>
      </w:r>
      <w:r>
        <w:rPr>
          <w:rFonts w:hint="eastAsia"/>
        </w:rPr>
        <w:t>承包人的一般义务</w:t>
      </w:r>
      <w:bookmarkEnd w:id="1858"/>
      <w:bookmarkEnd w:id="1859"/>
      <w:bookmarkEnd w:id="1860"/>
      <w:bookmarkEnd w:id="1861"/>
      <w:bookmarkEnd w:id="1862"/>
      <w:bookmarkEnd w:id="1863"/>
      <w:bookmarkEnd w:id="1864"/>
      <w:bookmarkEnd w:id="1865"/>
      <w:bookmarkEnd w:id="1866"/>
    </w:p>
    <w:p>
      <w:pPr>
        <w:spacing w:line="360" w:lineRule="auto"/>
        <w:ind w:firstLine="420" w:firstLineChars="200"/>
        <w:rPr>
          <w:rFonts w:ascii="宋体"/>
        </w:rPr>
      </w:pPr>
      <w:r>
        <w:rPr>
          <w:rFonts w:ascii="宋体" w:hAnsi="宋体"/>
        </w:rPr>
        <w:t xml:space="preserve">4.1.1  </w:t>
      </w:r>
      <w:r>
        <w:rPr>
          <w:rFonts w:hint="eastAsia" w:ascii="宋体" w:hAnsi="宋体"/>
        </w:rPr>
        <w:t>遵守法律</w:t>
      </w:r>
    </w:p>
    <w:p>
      <w:pPr>
        <w:spacing w:line="360" w:lineRule="auto"/>
        <w:ind w:firstLine="420" w:firstLineChars="200"/>
        <w:rPr>
          <w:rFonts w:ascii="宋体"/>
        </w:rPr>
      </w:pPr>
      <w:r>
        <w:rPr>
          <w:rFonts w:hint="eastAsia" w:ascii="宋体" w:hAnsi="宋体"/>
        </w:rPr>
        <w:t>承包人在履行合同过程中应遵守法律，并保证发包人免于承担因承包人违反法律而引起的任何责任。</w:t>
      </w:r>
    </w:p>
    <w:p>
      <w:pPr>
        <w:spacing w:line="360" w:lineRule="auto"/>
        <w:ind w:firstLine="420" w:firstLineChars="200"/>
        <w:rPr>
          <w:rFonts w:ascii="宋体"/>
        </w:rPr>
      </w:pPr>
      <w:r>
        <w:rPr>
          <w:rFonts w:ascii="宋体" w:hAnsi="宋体"/>
        </w:rPr>
        <w:t xml:space="preserve">4.1.2  </w:t>
      </w:r>
      <w:r>
        <w:rPr>
          <w:rFonts w:hint="eastAsia" w:ascii="宋体" w:hAnsi="宋体"/>
        </w:rPr>
        <w:t>依法纳税</w:t>
      </w:r>
    </w:p>
    <w:p>
      <w:pPr>
        <w:spacing w:line="360" w:lineRule="auto"/>
        <w:ind w:firstLine="420" w:firstLineChars="200"/>
        <w:rPr>
          <w:rFonts w:ascii="宋体"/>
        </w:rPr>
      </w:pPr>
      <w:r>
        <w:rPr>
          <w:rFonts w:hint="eastAsia" w:ascii="宋体" w:hAnsi="宋体"/>
        </w:rPr>
        <w:t>承包人应按有关法律规定纳税，应缴纳的税金包括在合同价格内。</w:t>
      </w:r>
    </w:p>
    <w:p>
      <w:pPr>
        <w:spacing w:line="360" w:lineRule="auto"/>
        <w:ind w:firstLine="420" w:firstLineChars="200"/>
        <w:rPr>
          <w:rFonts w:ascii="宋体"/>
        </w:rPr>
      </w:pPr>
      <w:r>
        <w:rPr>
          <w:rFonts w:ascii="宋体" w:hAnsi="宋体"/>
        </w:rPr>
        <w:t xml:space="preserve">4.1.3  </w:t>
      </w:r>
      <w:r>
        <w:rPr>
          <w:rFonts w:hint="eastAsia" w:ascii="宋体" w:hAnsi="宋体"/>
        </w:rPr>
        <w:t>完成各项承包工作</w:t>
      </w:r>
    </w:p>
    <w:p>
      <w:pPr>
        <w:spacing w:line="360" w:lineRule="auto"/>
        <w:ind w:firstLine="420" w:firstLineChars="200"/>
        <w:rPr>
          <w:rFonts w:ascii="宋体"/>
          <w:szCs w:val="21"/>
        </w:rPr>
      </w:pPr>
      <w:r>
        <w:rPr>
          <w:rFonts w:hint="eastAsia" w:ascii="宋体" w:hAnsi="宋体"/>
        </w:rPr>
        <w:t>（</w:t>
      </w:r>
      <w:r>
        <w:rPr>
          <w:rFonts w:ascii="宋体" w:hAnsi="宋体"/>
        </w:rPr>
        <w:t>1</w:t>
      </w:r>
      <w:r>
        <w:rPr>
          <w:rFonts w:hint="eastAsia" w:ascii="宋体" w:hAnsi="宋体"/>
        </w:rPr>
        <w:t>）承包人应按合同约定以及监理人根据第</w:t>
      </w:r>
      <w:r>
        <w:rPr>
          <w:rFonts w:ascii="宋体" w:hAnsi="宋体"/>
        </w:rPr>
        <w:t>3.4</w:t>
      </w:r>
      <w:r>
        <w:rPr>
          <w:rFonts w:hint="eastAsia" w:ascii="宋体" w:hAnsi="宋体"/>
        </w:rPr>
        <w:t>款作出的指示，实施、完成全部工程，并修补工程中的任何缺陷。</w:t>
      </w:r>
      <w:r>
        <w:rPr>
          <w:rFonts w:hint="eastAsia" w:ascii="宋体" w:hAnsi="宋体"/>
          <w:szCs w:val="21"/>
        </w:rPr>
        <w:t>除第</w:t>
      </w:r>
      <w:r>
        <w:rPr>
          <w:rFonts w:ascii="宋体" w:hAnsi="宋体"/>
          <w:szCs w:val="21"/>
        </w:rPr>
        <w:t>5.2</w:t>
      </w:r>
      <w:r>
        <w:rPr>
          <w:rFonts w:hint="eastAsia" w:ascii="宋体" w:hAnsi="宋体"/>
          <w:szCs w:val="21"/>
        </w:rPr>
        <w:t>款约定由发包人提供的材料和工程设备和第</w:t>
      </w:r>
      <w:r>
        <w:rPr>
          <w:rFonts w:ascii="宋体" w:hAnsi="宋体"/>
          <w:szCs w:val="21"/>
        </w:rPr>
        <w:t>6.2</w:t>
      </w:r>
      <w:r>
        <w:rPr>
          <w:rFonts w:hint="eastAsia" w:ascii="宋体" w:hAnsi="宋体"/>
          <w:szCs w:val="21"/>
        </w:rPr>
        <w:t>款约定由发包人提供的施工设备和临时设施外，承包人应负责提供为完成合同工作所需的劳务、材料、施工设备、工程设备和其他物品，并按照合同约定负责临时设施的设计、建造、运行、维护、管理和拆除工作。</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承包人应当依法合规建立施工扬尘综合治理、建筑垃圾、土方和砂石清运与消纳、保证使用已在本市进行信息编码登记符合排放标准的非道路移动机械和严禁使用高排放非道路移动机械以及行业挥发性有机物治理</w:t>
      </w:r>
      <w:r>
        <w:rPr>
          <w:rFonts w:hint="eastAsia" w:ascii="宋体" w:hAnsi="宋体"/>
          <w:kern w:val="0"/>
          <w:szCs w:val="21"/>
        </w:rPr>
        <w:t>（如</w:t>
      </w:r>
      <w:r>
        <w:rPr>
          <w:rFonts w:hint="eastAsia" w:ascii="宋体" w:hAnsi="宋体"/>
          <w:kern w:val="0"/>
        </w:rPr>
        <w:t>建筑外墙涂装、钢结构等鼓励使用水性漆替代油性漆</w:t>
      </w:r>
      <w:r>
        <w:rPr>
          <w:rFonts w:hint="eastAsia" w:ascii="宋体" w:hAnsi="宋体"/>
          <w:kern w:val="0"/>
          <w:szCs w:val="21"/>
        </w:rPr>
        <w:t>）</w:t>
      </w:r>
      <w:r>
        <w:rPr>
          <w:rFonts w:hint="eastAsia" w:ascii="宋体" w:hAnsi="宋体"/>
          <w:szCs w:val="21"/>
        </w:rPr>
        <w:t>等责任制，制定具体的管控机制和实施方案，严格落实。</w:t>
      </w:r>
    </w:p>
    <w:p>
      <w:pPr>
        <w:spacing w:line="360" w:lineRule="auto"/>
        <w:ind w:firstLine="420" w:firstLineChars="200"/>
        <w:rPr>
          <w:rFonts w:ascii="宋体"/>
        </w:rPr>
      </w:pPr>
      <w:bookmarkStart w:id="1867" w:name="_Hlk114649406"/>
      <w:r>
        <w:rPr>
          <w:rFonts w:hint="eastAsia" w:ascii="宋体" w:hAnsi="宋体"/>
          <w:szCs w:val="21"/>
        </w:rPr>
        <w:t>（</w:t>
      </w:r>
      <w:r>
        <w:rPr>
          <w:rFonts w:ascii="宋体" w:hAnsi="宋体"/>
          <w:szCs w:val="21"/>
        </w:rPr>
        <w:t>3</w:t>
      </w:r>
      <w:r>
        <w:rPr>
          <w:rFonts w:hint="eastAsia" w:ascii="宋体" w:hAnsi="宋体"/>
          <w:szCs w:val="21"/>
        </w:rPr>
        <w:t>）</w:t>
      </w:r>
      <w:r>
        <w:rPr>
          <w:rFonts w:hint="eastAsia" w:ascii="宋体"/>
        </w:rPr>
        <w:t>承包人应按法律法规、经消防设计审查合格或者满足工程需要的消防设计文件等规定组织施工，编制消防专项施工方案；按消防设计要求、施工技术标准和合同约定检验消防产品和具有防火性能要求的建筑材料、建筑构配件和设备的质量，保证消防施工质量；配合发包人组织的竣工验收消防查验，对建设工程消防施工质量签章确认。</w:t>
      </w:r>
    </w:p>
    <w:bookmarkEnd w:id="1867"/>
    <w:p>
      <w:pPr>
        <w:spacing w:line="360" w:lineRule="auto"/>
        <w:ind w:firstLine="420" w:firstLineChars="200"/>
        <w:rPr>
          <w:rFonts w:ascii="宋体"/>
        </w:rPr>
      </w:pPr>
      <w:r>
        <w:rPr>
          <w:rFonts w:ascii="宋体" w:hAnsi="宋体"/>
        </w:rPr>
        <w:t xml:space="preserve">4.1.4  </w:t>
      </w:r>
      <w:r>
        <w:rPr>
          <w:rFonts w:hint="eastAsia" w:ascii="宋体" w:hAnsi="宋体"/>
        </w:rPr>
        <w:t>对施工作业和施工方法的完备性负责</w:t>
      </w:r>
    </w:p>
    <w:p>
      <w:pPr>
        <w:spacing w:line="360" w:lineRule="auto"/>
        <w:ind w:firstLine="420" w:firstLineChars="200"/>
        <w:rPr>
          <w:rFonts w:ascii="宋体"/>
        </w:rPr>
      </w:pPr>
      <w:r>
        <w:rPr>
          <w:rFonts w:hint="eastAsia" w:ascii="宋体" w:hAnsi="宋体"/>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rFonts w:ascii="宋体"/>
        </w:rPr>
      </w:pPr>
      <w:r>
        <w:rPr>
          <w:rFonts w:ascii="宋体" w:hAnsi="宋体"/>
        </w:rPr>
        <w:t xml:space="preserve">4.1.5  </w:t>
      </w:r>
      <w:r>
        <w:rPr>
          <w:rFonts w:hint="eastAsia" w:ascii="宋体" w:hAnsi="宋体"/>
        </w:rPr>
        <w:t>保证工程施工和人员的安全</w:t>
      </w:r>
    </w:p>
    <w:p>
      <w:pPr>
        <w:spacing w:line="360" w:lineRule="auto"/>
        <w:ind w:firstLine="420" w:firstLineChars="200"/>
        <w:rPr>
          <w:rFonts w:ascii="宋体"/>
        </w:rPr>
      </w:pPr>
      <w:r>
        <w:rPr>
          <w:rFonts w:hint="eastAsia" w:ascii="宋体" w:hAnsi="宋体"/>
        </w:rPr>
        <w:t>承包人应按照第</w:t>
      </w:r>
      <w:r>
        <w:rPr>
          <w:rFonts w:ascii="宋体" w:hAnsi="宋体"/>
        </w:rPr>
        <w:t>9.2</w:t>
      </w:r>
      <w:r>
        <w:rPr>
          <w:rFonts w:hint="eastAsia" w:ascii="宋体" w:hAnsi="宋体"/>
        </w:rPr>
        <w:t>款约定采取施工安全措施，确保工程及其人员、材料、设备和设施的安全，防止因工程施工造成的人身伤害和财产损失。</w:t>
      </w:r>
    </w:p>
    <w:p>
      <w:pPr>
        <w:spacing w:line="360" w:lineRule="auto"/>
        <w:ind w:firstLine="420" w:firstLineChars="200"/>
        <w:rPr>
          <w:rFonts w:ascii="宋体"/>
        </w:rPr>
      </w:pPr>
      <w:r>
        <w:rPr>
          <w:rFonts w:ascii="宋体" w:hAnsi="宋体"/>
        </w:rPr>
        <w:t xml:space="preserve">4.1.6  </w:t>
      </w:r>
      <w:r>
        <w:rPr>
          <w:rFonts w:hint="eastAsia" w:ascii="宋体" w:hAnsi="宋体"/>
        </w:rPr>
        <w:t>负责施工场地、周边环境和生态保护以及疫情防控常态化工作</w:t>
      </w:r>
    </w:p>
    <w:p>
      <w:pPr>
        <w:spacing w:line="360" w:lineRule="auto"/>
        <w:ind w:firstLine="420" w:firstLineChars="200"/>
        <w:rPr>
          <w:rFonts w:ascii="宋体"/>
        </w:rPr>
      </w:pPr>
      <w:r>
        <w:rPr>
          <w:rFonts w:hint="eastAsia" w:ascii="宋体" w:hAnsi="宋体"/>
        </w:rPr>
        <w:t>承包人应按照第</w:t>
      </w:r>
      <w:r>
        <w:rPr>
          <w:rFonts w:ascii="宋体" w:hAnsi="宋体"/>
        </w:rPr>
        <w:t>9.4</w:t>
      </w:r>
      <w:r>
        <w:rPr>
          <w:rFonts w:hint="eastAsia" w:ascii="宋体" w:hAnsi="宋体"/>
        </w:rPr>
        <w:t>款约定负责施工场地及其周边环境与生态的保护工作。同时负责施工现场及周边疫情常态化防控各项工作具体组织实施。即做好施工现场（含生活区）封闭式管理；做好施工现场实名制管理；做好对重点人群的管理；做好生活区隔离管理；做好智能体温计佩戴管理工作；做好环境卫生整治和消毒工作；做好施工现场从业人员健康素养宣传教育等工作。</w:t>
      </w:r>
    </w:p>
    <w:p>
      <w:pPr>
        <w:spacing w:line="360" w:lineRule="auto"/>
        <w:ind w:firstLine="420" w:firstLineChars="200"/>
        <w:rPr>
          <w:rFonts w:ascii="宋体"/>
        </w:rPr>
      </w:pPr>
      <w:r>
        <w:rPr>
          <w:rFonts w:ascii="宋体" w:hAnsi="宋体"/>
        </w:rPr>
        <w:t xml:space="preserve">4.1.7  </w:t>
      </w:r>
      <w:r>
        <w:rPr>
          <w:rFonts w:hint="eastAsia" w:ascii="宋体" w:hAnsi="宋体"/>
        </w:rPr>
        <w:t>避免施工对公众与他人的利益造成损害</w:t>
      </w:r>
    </w:p>
    <w:p>
      <w:pPr>
        <w:spacing w:line="360" w:lineRule="auto"/>
        <w:ind w:firstLine="420" w:firstLineChars="200"/>
        <w:rPr>
          <w:rFonts w:ascii="宋体"/>
        </w:rPr>
      </w:pPr>
      <w:r>
        <w:rPr>
          <w:rFonts w:hint="eastAsia" w:ascii="宋体" w:hAnsi="宋体"/>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rFonts w:ascii="宋体"/>
        </w:rPr>
      </w:pPr>
      <w:r>
        <w:rPr>
          <w:rFonts w:ascii="宋体" w:hAnsi="宋体"/>
        </w:rPr>
        <w:t xml:space="preserve">4.1.8  </w:t>
      </w:r>
      <w:r>
        <w:rPr>
          <w:rFonts w:hint="eastAsia" w:ascii="宋体" w:hAnsi="宋体"/>
        </w:rPr>
        <w:t>为他人提供方便</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应当对在施工场地或者附近实施与合同工程有关的其他工作的独立承包人履行管理、协调、配合、照管和服务义务，由此发生的费用被认为已经包括在承包人的签约合同价（投标总报价）中，具体工作内容和要求</w:t>
      </w:r>
      <w:r>
        <w:rPr>
          <w:rFonts w:hint="eastAsia" w:ascii="黑体" w:hAnsi="黑体" w:eastAsia="黑体"/>
          <w:szCs w:val="21"/>
        </w:rPr>
        <w:t>见合同条款专用部分。</w:t>
      </w:r>
    </w:p>
    <w:p>
      <w:pPr>
        <w:spacing w:line="360" w:lineRule="auto"/>
        <w:ind w:firstLine="420" w:firstLineChars="200"/>
        <w:rPr>
          <w:rFonts w:ascii="宋体"/>
        </w:rPr>
      </w:pPr>
      <w:r>
        <w:rPr>
          <w:rFonts w:hint="eastAsia" w:ascii="宋体" w:hAnsi="宋体"/>
          <w:szCs w:val="21"/>
        </w:rPr>
        <w:t>（</w:t>
      </w:r>
      <w:r>
        <w:rPr>
          <w:rFonts w:ascii="宋体" w:hAnsi="宋体"/>
          <w:szCs w:val="21"/>
        </w:rPr>
        <w:t>2</w:t>
      </w:r>
      <w:r>
        <w:rPr>
          <w:rFonts w:hint="eastAsia" w:ascii="宋体" w:hAnsi="宋体"/>
          <w:szCs w:val="21"/>
        </w:rPr>
        <w:t>）承包人还应按照监理人指示为独立承包人以外的他人在施工场地或者附近实施与合同工程有关的其他工作提供可能的条件，可能发生费用由监理人按合同条款通用部分第</w:t>
      </w:r>
      <w:r>
        <w:rPr>
          <w:rFonts w:ascii="宋体" w:hAnsi="宋体"/>
          <w:szCs w:val="21"/>
        </w:rPr>
        <w:t>3.5</w:t>
      </w:r>
      <w:r>
        <w:rPr>
          <w:rFonts w:hint="eastAsia" w:ascii="宋体" w:hAnsi="宋体"/>
          <w:szCs w:val="21"/>
        </w:rPr>
        <w:t>款商定或者确定。</w:t>
      </w:r>
    </w:p>
    <w:p>
      <w:pPr>
        <w:spacing w:line="360" w:lineRule="auto"/>
        <w:ind w:firstLine="420" w:firstLineChars="200"/>
        <w:rPr>
          <w:rFonts w:ascii="宋体"/>
        </w:rPr>
      </w:pPr>
      <w:r>
        <w:rPr>
          <w:rFonts w:ascii="宋体" w:hAnsi="宋体"/>
        </w:rPr>
        <w:t xml:space="preserve">4.1.9  </w:t>
      </w:r>
      <w:r>
        <w:rPr>
          <w:rFonts w:hint="eastAsia" w:ascii="宋体" w:hAnsi="宋体"/>
        </w:rPr>
        <w:t>工程的维护和照管</w:t>
      </w:r>
    </w:p>
    <w:p>
      <w:pPr>
        <w:spacing w:line="360" w:lineRule="auto"/>
        <w:ind w:firstLine="420" w:firstLineChars="200"/>
        <w:rPr>
          <w:rFonts w:ascii="宋体"/>
        </w:rPr>
      </w:pPr>
      <w:r>
        <w:rPr>
          <w:rFonts w:hint="eastAsia" w:ascii="宋体" w:hAnsi="宋体"/>
        </w:rPr>
        <w:t>工程接收证书颁发前，承包人应负责照管和维护工程。工程接收证书颁发时尚有部分未竣工工程的，承包人还应负责该未竣工工程的照管和维护工作，直至竣工后移交给发包人为止。</w:t>
      </w:r>
    </w:p>
    <w:p>
      <w:pPr>
        <w:spacing w:line="360" w:lineRule="auto"/>
        <w:ind w:firstLine="420" w:firstLineChars="200"/>
        <w:rPr>
          <w:rFonts w:ascii="宋体"/>
          <w:szCs w:val="21"/>
        </w:rPr>
      </w:pPr>
      <w:r>
        <w:rPr>
          <w:rFonts w:ascii="宋体" w:hAnsi="宋体"/>
          <w:szCs w:val="21"/>
        </w:rPr>
        <w:t xml:space="preserve">4.1.10  </w:t>
      </w:r>
      <w:r>
        <w:rPr>
          <w:rFonts w:hint="eastAsia" w:ascii="宋体" w:hAnsi="宋体"/>
          <w:szCs w:val="21"/>
        </w:rPr>
        <w:t>承包人的设计工作</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w:t>
      </w:r>
      <w:r>
        <w:rPr>
          <w:rFonts w:ascii="宋体" w:hAnsi="宋体"/>
          <w:szCs w:val="21"/>
        </w:rPr>
        <w:t>1.6.2</w:t>
      </w:r>
      <w:r>
        <w:rPr>
          <w:rFonts w:hint="eastAsia" w:ascii="宋体" w:hAnsi="宋体"/>
          <w:szCs w:val="21"/>
        </w:rPr>
        <w:t>项约定的承包人提供的文件，承包人应按照合同条款专用部分第</w:t>
      </w:r>
      <w:r>
        <w:rPr>
          <w:rFonts w:ascii="宋体" w:hAnsi="宋体"/>
          <w:szCs w:val="21"/>
        </w:rPr>
        <w:t>1.6.2</w:t>
      </w:r>
      <w:r>
        <w:rPr>
          <w:rFonts w:hint="eastAsia" w:ascii="宋体" w:hAnsi="宋体"/>
          <w:szCs w:val="21"/>
        </w:rPr>
        <w:t>项约定的期限和数量提交，由此发生的费用被认为已经包括在承包人的签约合同价（投标总报价）中。承包人承担的施工图设计或与工程配套的设计工作内容</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4.1.11  </w:t>
      </w:r>
      <w:r>
        <w:rPr>
          <w:rFonts w:hint="eastAsia" w:ascii="宋体" w:hAnsi="宋体"/>
        </w:rPr>
        <w:t>农民工工资保证金</w:t>
      </w:r>
    </w:p>
    <w:p>
      <w:pPr>
        <w:spacing w:line="360" w:lineRule="auto"/>
        <w:ind w:firstLine="420" w:firstLineChars="200"/>
        <w:rPr>
          <w:rFonts w:ascii="宋体"/>
          <w:szCs w:val="21"/>
        </w:rPr>
      </w:pPr>
      <w:r>
        <w:rPr>
          <w:rFonts w:hint="eastAsia" w:ascii="宋体" w:hAnsi="宋体"/>
        </w:rPr>
        <w:t>承包人应在银行设立工资保证金专用账户，专项用于发生欠薪时支付农民工工资的应急保障。账户内资金启用应当经建设主管部门和劳动保障行政部门批准。</w:t>
      </w:r>
    </w:p>
    <w:p>
      <w:pPr>
        <w:spacing w:line="360" w:lineRule="auto"/>
        <w:ind w:firstLine="420" w:firstLineChars="200"/>
        <w:rPr>
          <w:rFonts w:ascii="宋体"/>
        </w:rPr>
      </w:pPr>
      <w:r>
        <w:rPr>
          <w:rFonts w:ascii="宋体" w:hAnsi="宋体"/>
        </w:rPr>
        <w:t xml:space="preserve">4.1.12  </w:t>
      </w:r>
      <w:r>
        <w:rPr>
          <w:rFonts w:hint="eastAsia" w:ascii="宋体" w:hAnsi="宋体"/>
        </w:rPr>
        <w:t>其他义务</w:t>
      </w:r>
    </w:p>
    <w:p>
      <w:pPr>
        <w:spacing w:line="360" w:lineRule="auto"/>
        <w:ind w:firstLine="420" w:firstLineChars="200"/>
        <w:rPr>
          <w:rFonts w:ascii="宋体"/>
        </w:rPr>
      </w:pPr>
      <w:r>
        <w:rPr>
          <w:rFonts w:hint="eastAsia" w:ascii="宋体" w:hAnsi="宋体"/>
        </w:rPr>
        <w:t>承包人应履行的其他义务</w:t>
      </w:r>
      <w:r>
        <w:rPr>
          <w:rFonts w:hint="eastAsia" w:ascii="黑体" w:hAnsi="黑体" w:eastAsia="黑体"/>
        </w:rPr>
        <w:t>见合同条款专用部分。</w:t>
      </w:r>
    </w:p>
    <w:p>
      <w:pPr>
        <w:pStyle w:val="155"/>
        <w:spacing w:before="120" w:after="120"/>
      </w:pPr>
      <w:bookmarkStart w:id="1868" w:name="_Toc144974609"/>
      <w:bookmarkStart w:id="1869" w:name="_Toc338944734"/>
      <w:bookmarkStart w:id="1870" w:name="_Toc152045641"/>
      <w:bookmarkStart w:id="1871" w:name="_Toc179632659"/>
      <w:bookmarkStart w:id="1872" w:name="_Toc342296292"/>
      <w:bookmarkStart w:id="1873" w:name="_Toc152042419"/>
      <w:bookmarkStart w:id="1874" w:name="_Toc489279889"/>
      <w:bookmarkStart w:id="1875" w:name="_Toc480486760"/>
      <w:bookmarkStart w:id="1876" w:name="_Toc480486932"/>
      <w:bookmarkStart w:id="1877" w:name="_Toc486580078"/>
      <w:bookmarkStart w:id="1878" w:name="_Toc483668107"/>
      <w:bookmarkStart w:id="1879" w:name="_Toc490222523"/>
      <w:bookmarkStart w:id="1880" w:name="_Toc117350442"/>
      <w:r>
        <w:t xml:space="preserve">4.2 </w:t>
      </w:r>
      <w:bookmarkEnd w:id="1868"/>
      <w:bookmarkEnd w:id="1869"/>
      <w:bookmarkEnd w:id="1870"/>
      <w:bookmarkEnd w:id="1871"/>
      <w:bookmarkEnd w:id="1872"/>
      <w:bookmarkEnd w:id="1873"/>
      <w:r>
        <w:t xml:space="preserve"> </w:t>
      </w:r>
      <w:r>
        <w:rPr>
          <w:rFonts w:hint="eastAsia"/>
        </w:rPr>
        <w:t>履约担保</w:t>
      </w:r>
      <w:bookmarkEnd w:id="1874"/>
      <w:bookmarkEnd w:id="1875"/>
      <w:bookmarkEnd w:id="1876"/>
      <w:bookmarkEnd w:id="1877"/>
      <w:bookmarkEnd w:id="1878"/>
      <w:bookmarkEnd w:id="1879"/>
      <w:bookmarkEnd w:id="1880"/>
    </w:p>
    <w:p>
      <w:pPr>
        <w:spacing w:line="360" w:lineRule="auto"/>
        <w:ind w:firstLine="420" w:firstLineChars="200"/>
        <w:rPr>
          <w:rFonts w:ascii="宋体"/>
          <w:szCs w:val="21"/>
        </w:rPr>
      </w:pPr>
      <w:r>
        <w:rPr>
          <w:rFonts w:ascii="宋体" w:hAnsi="宋体"/>
          <w:szCs w:val="21"/>
        </w:rPr>
        <w:t xml:space="preserve">4.2.1  </w:t>
      </w:r>
      <w:r>
        <w:rPr>
          <w:rFonts w:hint="eastAsia" w:ascii="宋体" w:hAnsi="宋体"/>
          <w:szCs w:val="21"/>
        </w:rPr>
        <w:t>履约担保的格式和金额</w:t>
      </w:r>
    </w:p>
    <w:p>
      <w:pPr>
        <w:spacing w:line="360" w:lineRule="auto"/>
        <w:ind w:firstLine="420" w:firstLineChars="200"/>
        <w:rPr>
          <w:rFonts w:ascii="宋体"/>
          <w:szCs w:val="21"/>
        </w:rPr>
      </w:pPr>
      <w:r>
        <w:rPr>
          <w:rFonts w:hint="eastAsia" w:ascii="宋体" w:hAnsi="宋体"/>
        </w:rPr>
        <w:t>合同约定承包人提交履约担保的，</w:t>
      </w:r>
      <w:r>
        <w:rPr>
          <w:rFonts w:hint="eastAsia" w:ascii="宋体" w:hAnsi="宋体"/>
          <w:szCs w:val="21"/>
        </w:rPr>
        <w:t>承包人应在签订合同前，按照发包人约定的格式或者其他经过发包人认可的格式向发包人递交一份履约担保。</w:t>
      </w:r>
      <w:r>
        <w:rPr>
          <w:rFonts w:hint="eastAsia" w:ascii="宋体" w:hAnsi="宋体" w:cs="Arial"/>
          <w:szCs w:val="21"/>
        </w:rPr>
        <w:t>经过发包人事先书面认可的其他格式的履约担保，其担保条款的实质性内容应当与发包人合同文件约定的格式内容保持一致。</w:t>
      </w:r>
      <w:r>
        <w:rPr>
          <w:rFonts w:hint="eastAsia" w:ascii="宋体" w:hAnsi="宋体"/>
          <w:szCs w:val="21"/>
        </w:rPr>
        <w:t>承包人是否提交履约担保及需要提交履约担保的金额</w:t>
      </w:r>
      <w:r>
        <w:rPr>
          <w:rFonts w:hint="eastAsia" w:ascii="黑体" w:hAnsi="黑体" w:eastAsia="黑体"/>
        </w:rPr>
        <w:t>见合同条款专用部分。</w:t>
      </w:r>
      <w:r>
        <w:rPr>
          <w:rFonts w:hint="eastAsia" w:ascii="宋体" w:hAnsi="宋体" w:cs="Arial"/>
          <w:szCs w:val="21"/>
        </w:rPr>
        <w:t>承包人</w:t>
      </w:r>
      <w:r>
        <w:rPr>
          <w:rFonts w:hint="eastAsia" w:ascii="宋体" w:hAnsi="宋体"/>
          <w:szCs w:val="21"/>
        </w:rPr>
        <w:t>履约担保格式</w:t>
      </w:r>
      <w:r>
        <w:rPr>
          <w:rFonts w:hint="eastAsia" w:ascii="黑体" w:hAnsi="黑体" w:eastAsia="黑体"/>
          <w:szCs w:val="21"/>
        </w:rPr>
        <w:t>见合同条款专用部分附件五。</w:t>
      </w:r>
    </w:p>
    <w:p>
      <w:pPr>
        <w:spacing w:line="360" w:lineRule="auto"/>
        <w:ind w:firstLine="420" w:firstLineChars="200"/>
        <w:rPr>
          <w:rFonts w:ascii="宋体"/>
          <w:szCs w:val="21"/>
        </w:rPr>
      </w:pPr>
      <w:r>
        <w:rPr>
          <w:rFonts w:ascii="宋体" w:hAnsi="宋体"/>
          <w:szCs w:val="21"/>
        </w:rPr>
        <w:t xml:space="preserve">4.2.2  </w:t>
      </w:r>
      <w:r>
        <w:rPr>
          <w:rFonts w:hint="eastAsia" w:ascii="宋体" w:hAnsi="宋体"/>
          <w:szCs w:val="21"/>
        </w:rPr>
        <w:t>履约担保的有效期</w:t>
      </w:r>
    </w:p>
    <w:p>
      <w:pPr>
        <w:spacing w:line="360" w:lineRule="auto"/>
        <w:ind w:firstLine="420" w:firstLineChars="200"/>
        <w:rPr>
          <w:rFonts w:ascii="宋体"/>
          <w:szCs w:val="21"/>
        </w:rPr>
      </w:pPr>
      <w:r>
        <w:rPr>
          <w:rFonts w:hint="eastAsia" w:ascii="宋体" w:hAnsi="宋体" w:cs="Arial"/>
          <w:szCs w:val="21"/>
        </w:rPr>
        <w:t>履约担保的有效期应当自本合同生效之日起至发包人签认并由监理人向承包人出具工程接收证书之日止。</w:t>
      </w:r>
      <w:r>
        <w:rPr>
          <w:rFonts w:hint="eastAsia" w:ascii="宋体" w:hAnsi="宋体"/>
          <w:szCs w:val="21"/>
        </w:rPr>
        <w:t>如果承包人无法获得一份不带具体截止日期的担保，</w:t>
      </w:r>
      <w:r>
        <w:rPr>
          <w:rFonts w:hint="eastAsia" w:ascii="宋体" w:hAnsi="宋体" w:cs="Arial"/>
          <w:szCs w:val="21"/>
        </w:rPr>
        <w:t>履约担保中就应当约定有</w:t>
      </w:r>
      <w:r>
        <w:rPr>
          <w:rFonts w:hint="eastAsia" w:ascii="宋体" w:hAnsi="宋体"/>
          <w:szCs w:val="21"/>
        </w:rPr>
        <w:t>“变更工程竣工日期的，保证期间按照变更后的竣工日期做相应调整”或类似约定的条款。</w:t>
      </w:r>
    </w:p>
    <w:p>
      <w:pPr>
        <w:spacing w:line="360" w:lineRule="auto"/>
        <w:ind w:firstLine="420" w:firstLineChars="200"/>
        <w:rPr>
          <w:rFonts w:ascii="宋体"/>
          <w:szCs w:val="21"/>
        </w:rPr>
      </w:pPr>
      <w:r>
        <w:rPr>
          <w:rFonts w:ascii="宋体" w:hAnsi="宋体"/>
          <w:szCs w:val="21"/>
        </w:rPr>
        <w:t xml:space="preserve">4.2.3  </w:t>
      </w:r>
      <w:r>
        <w:rPr>
          <w:rFonts w:hint="eastAsia" w:ascii="宋体" w:hAnsi="宋体"/>
          <w:szCs w:val="21"/>
        </w:rPr>
        <w:t>履约担保的退还</w:t>
      </w:r>
    </w:p>
    <w:p>
      <w:pPr>
        <w:spacing w:line="360" w:lineRule="auto"/>
        <w:ind w:firstLine="420" w:firstLineChars="200"/>
        <w:rPr>
          <w:rFonts w:ascii="宋体"/>
          <w:szCs w:val="21"/>
        </w:rPr>
      </w:pPr>
      <w:r>
        <w:rPr>
          <w:rFonts w:hint="eastAsia" w:ascii="宋体" w:hAnsi="宋体"/>
          <w:szCs w:val="21"/>
        </w:rPr>
        <w:t>履约担保应在监理人向承包人颁发（出具）工程接收证书之日后</w:t>
      </w:r>
      <w:r>
        <w:rPr>
          <w:rFonts w:ascii="宋体" w:hAnsi="宋体"/>
          <w:szCs w:val="21"/>
        </w:rPr>
        <w:t>28</w:t>
      </w:r>
      <w:r>
        <w:rPr>
          <w:rFonts w:hint="eastAsia" w:ascii="宋体" w:hAnsi="宋体"/>
          <w:szCs w:val="21"/>
        </w:rPr>
        <w:t>天内退还给承包人。发包人不承担承包人与履约担保有关的任何利息或其它类似的费用或者收益。</w:t>
      </w:r>
    </w:p>
    <w:p>
      <w:pPr>
        <w:spacing w:line="360" w:lineRule="auto"/>
        <w:ind w:firstLine="420" w:firstLineChars="200"/>
        <w:rPr>
          <w:rFonts w:ascii="宋体"/>
          <w:szCs w:val="21"/>
        </w:rPr>
      </w:pPr>
      <w:r>
        <w:rPr>
          <w:rFonts w:ascii="宋体" w:hAnsi="宋体"/>
          <w:szCs w:val="21"/>
        </w:rPr>
        <w:t xml:space="preserve">4.2.4  </w:t>
      </w:r>
      <w:r>
        <w:rPr>
          <w:rFonts w:hint="eastAsia" w:ascii="宋体" w:hAnsi="宋体"/>
          <w:szCs w:val="21"/>
        </w:rPr>
        <w:t>通知义务</w:t>
      </w:r>
    </w:p>
    <w:p>
      <w:pPr>
        <w:spacing w:line="360" w:lineRule="auto"/>
        <w:ind w:firstLine="420" w:firstLineChars="200"/>
        <w:rPr>
          <w:rFonts w:ascii="宋体"/>
        </w:rPr>
      </w:pPr>
      <w:r>
        <w:rPr>
          <w:rFonts w:hint="eastAsia" w:ascii="宋体" w:hAnsi="宋体"/>
          <w:szCs w:val="21"/>
        </w:rPr>
        <w:t>不管履约担保条款中如何约定，发包人根据担保条款提出索赔或兑现要求</w:t>
      </w:r>
      <w:r>
        <w:rPr>
          <w:rFonts w:ascii="宋体" w:hAnsi="宋体"/>
          <w:szCs w:val="21"/>
        </w:rPr>
        <w:t>28</w:t>
      </w:r>
      <w:r>
        <w:rPr>
          <w:rFonts w:hint="eastAsia" w:ascii="宋体" w:hAnsi="宋体"/>
          <w:szCs w:val="21"/>
        </w:rPr>
        <w:t>天前，应通知承包人并说明导致此类索赔或兑现的违约性质或原因。相应地，不管第</w:t>
      </w:r>
      <w:r>
        <w:rPr>
          <w:rFonts w:ascii="宋体" w:hAnsi="宋体"/>
          <w:szCs w:val="21"/>
        </w:rPr>
        <w:t>2.8</w:t>
      </w:r>
      <w:r>
        <w:rPr>
          <w:rFonts w:hint="eastAsia" w:ascii="宋体" w:hAnsi="宋体"/>
          <w:szCs w:val="21"/>
        </w:rPr>
        <w:t>款约定的支付担保条款中如何约定，承包人根据担保条款提出索赔或兑现要求</w:t>
      </w:r>
      <w:r>
        <w:rPr>
          <w:rFonts w:ascii="宋体" w:hAnsi="宋体"/>
          <w:szCs w:val="21"/>
        </w:rPr>
        <w:t>28</w:t>
      </w:r>
      <w:r>
        <w:rPr>
          <w:rFonts w:hint="eastAsia" w:ascii="宋体" w:hAnsi="宋体"/>
          <w:szCs w:val="21"/>
        </w:rPr>
        <w:t>天前，也应通知发包人并说明导致此类索赔或兑现的违约性质或原因。但是，本项约定的通知不应理解为是在任何意义上寻求承包人或者发包人的同意。</w:t>
      </w:r>
    </w:p>
    <w:p>
      <w:pPr>
        <w:pStyle w:val="155"/>
        <w:spacing w:before="120" w:after="120"/>
      </w:pPr>
      <w:bookmarkStart w:id="1881" w:name="_Toc489279890"/>
      <w:bookmarkStart w:id="1882" w:name="_Toc483668108"/>
      <w:bookmarkStart w:id="1883" w:name="_Toc480486761"/>
      <w:bookmarkStart w:id="1884" w:name="_Toc338944735"/>
      <w:bookmarkStart w:id="1885" w:name="_Toc480486933"/>
      <w:bookmarkStart w:id="1886" w:name="_Toc490222524"/>
      <w:bookmarkStart w:id="1887" w:name="_Toc486580079"/>
      <w:bookmarkStart w:id="1888" w:name="_Toc342296293"/>
      <w:bookmarkStart w:id="1889" w:name="_Toc117350443"/>
      <w:r>
        <w:t xml:space="preserve">4.3  </w:t>
      </w:r>
      <w:r>
        <w:rPr>
          <w:rFonts w:hint="eastAsia"/>
        </w:rPr>
        <w:t>分包</w:t>
      </w:r>
      <w:bookmarkEnd w:id="1881"/>
      <w:bookmarkEnd w:id="1882"/>
      <w:bookmarkEnd w:id="1883"/>
      <w:bookmarkEnd w:id="1884"/>
      <w:bookmarkEnd w:id="1885"/>
      <w:bookmarkEnd w:id="1886"/>
      <w:bookmarkEnd w:id="1887"/>
      <w:bookmarkEnd w:id="1888"/>
      <w:bookmarkEnd w:id="1889"/>
    </w:p>
    <w:p>
      <w:pPr>
        <w:spacing w:line="360" w:lineRule="auto"/>
        <w:ind w:firstLine="420" w:firstLineChars="200"/>
        <w:rPr>
          <w:rFonts w:ascii="宋体"/>
        </w:rPr>
      </w:pPr>
      <w:r>
        <w:rPr>
          <w:rFonts w:ascii="宋体" w:hAnsi="宋体"/>
        </w:rPr>
        <w:t xml:space="preserve">4.3.1  </w:t>
      </w:r>
      <w:r>
        <w:rPr>
          <w:rFonts w:hint="eastAsia" w:ascii="宋体" w:hAnsi="宋体"/>
        </w:rPr>
        <w:t>承包人不得将其承包的全部工程转包给第三人，或将其承包的全部工程肢解后以分包的名义转包给第三人。</w:t>
      </w:r>
    </w:p>
    <w:p>
      <w:pPr>
        <w:spacing w:line="360" w:lineRule="auto"/>
        <w:ind w:firstLine="420" w:firstLineChars="200"/>
        <w:rPr>
          <w:rFonts w:ascii="宋体"/>
        </w:rPr>
      </w:pPr>
      <w:r>
        <w:rPr>
          <w:rFonts w:ascii="宋体" w:hAnsi="宋体"/>
        </w:rPr>
        <w:t xml:space="preserve">4.3.2  </w:t>
      </w:r>
      <w:r>
        <w:rPr>
          <w:rFonts w:hint="eastAsia" w:ascii="宋体" w:hAnsi="宋体"/>
        </w:rPr>
        <w:t>承包人不得将工程主体、关键性工作分包给第三人。</w:t>
      </w:r>
    </w:p>
    <w:p>
      <w:pPr>
        <w:spacing w:line="360" w:lineRule="auto"/>
        <w:ind w:firstLine="420" w:firstLineChars="200"/>
        <w:rPr>
          <w:rFonts w:ascii="宋体"/>
        </w:rPr>
      </w:pPr>
      <w:r>
        <w:rPr>
          <w:rFonts w:ascii="宋体" w:hAnsi="宋体"/>
        </w:rPr>
        <w:t xml:space="preserve">4.3.3  </w:t>
      </w:r>
      <w:r>
        <w:rPr>
          <w:rFonts w:hint="eastAsia" w:ascii="宋体" w:hAnsi="宋体"/>
        </w:rPr>
        <w:t>未经发包人同意，承包人不得将其自行施工范围工程的其他部分或工作分包给第三人。</w:t>
      </w:r>
      <w:r>
        <w:rPr>
          <w:rFonts w:hint="eastAsia" w:ascii="宋体" w:hAnsi="宋体"/>
          <w:szCs w:val="21"/>
        </w:rPr>
        <w:t>发包人同意承包人分包的非主体、非关键性工作包括：</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w:t>
      </w:r>
      <w:r>
        <w:rPr>
          <w:rFonts w:hint="eastAsia" w:ascii="宋体" w:hAnsi="宋体"/>
          <w:szCs w:val="21"/>
        </w:rPr>
        <w:t>投标函附录</w:t>
      </w:r>
      <w:r>
        <w:rPr>
          <w:rFonts w:hint="eastAsia" w:ascii="宋体" w:hAnsi="宋体"/>
        </w:rPr>
        <w:t>约定的分包工程；</w:t>
      </w:r>
    </w:p>
    <w:p>
      <w:pPr>
        <w:spacing w:line="360" w:lineRule="auto"/>
        <w:ind w:firstLine="315" w:firstLineChars="150"/>
        <w:rPr>
          <w:rFonts w:ascii="宋体"/>
          <w:szCs w:val="21"/>
        </w:rPr>
      </w:pPr>
      <w:r>
        <w:rPr>
          <w:rFonts w:hint="eastAsia" w:ascii="宋体" w:hAnsi="宋体"/>
        </w:rPr>
        <w:t>（</w:t>
      </w:r>
      <w:r>
        <w:rPr>
          <w:rFonts w:ascii="宋体" w:hAnsi="宋体"/>
        </w:rPr>
        <w:t>2</w:t>
      </w:r>
      <w:r>
        <w:rPr>
          <w:rFonts w:hint="eastAsia" w:ascii="宋体" w:hAnsi="宋体"/>
        </w:rPr>
        <w:t>）</w:t>
      </w:r>
      <w:r>
        <w:rPr>
          <w:rFonts w:hint="eastAsia" w:ascii="宋体" w:hAnsi="宋体"/>
          <w:szCs w:val="21"/>
        </w:rPr>
        <w:t>除投标函附录中约定的分包内容外，经过发包人和监理人同意的其他非主体、非关键性工作，但分包人应当经过发包人和监理人审批。发包人和监理人有权拒绝承包人的分包请求和承包人选择的分包人。</w:t>
      </w:r>
    </w:p>
    <w:p>
      <w:pPr>
        <w:spacing w:line="360" w:lineRule="auto"/>
        <w:ind w:firstLine="420" w:firstLineChars="200"/>
        <w:rPr>
          <w:rFonts w:ascii="宋体"/>
        </w:rPr>
      </w:pPr>
      <w:r>
        <w:rPr>
          <w:rFonts w:ascii="宋体" w:hAnsi="宋体"/>
        </w:rPr>
        <w:t xml:space="preserve">4.3.4  </w:t>
      </w:r>
      <w:r>
        <w:rPr>
          <w:rFonts w:hint="eastAsia" w:ascii="宋体" w:hAnsi="宋体"/>
        </w:rPr>
        <w:t>发包人在工程量清单中给定暂估价的专业工程，包括从暂列金额开支的专业工程，达到依法应当招标的规模标准的，以及虽未达到规定的规模标准但合同中约定采用招标方式实施的，应当按第</w:t>
      </w:r>
      <w:r>
        <w:rPr>
          <w:rFonts w:ascii="宋体" w:hAnsi="宋体"/>
        </w:rPr>
        <w:t>15.8.1</w:t>
      </w:r>
      <w:r>
        <w:rPr>
          <w:rFonts w:hint="eastAsia" w:ascii="宋体" w:hAnsi="宋体"/>
        </w:rPr>
        <w:t>项的约定，由发包人和承包人以招标方式确定专业分包人。除项目审批部门有特别核准外，暂估价的专业工程的招标应当采用与施工总承包同样的招标方式。</w:t>
      </w:r>
    </w:p>
    <w:p>
      <w:pPr>
        <w:spacing w:line="360" w:lineRule="auto"/>
        <w:ind w:firstLine="420" w:firstLineChars="200"/>
        <w:rPr>
          <w:rFonts w:ascii="宋体"/>
        </w:rPr>
      </w:pPr>
      <w:r>
        <w:rPr>
          <w:rFonts w:ascii="宋体" w:hAnsi="宋体"/>
        </w:rPr>
        <w:t xml:space="preserve">4.3.5  </w:t>
      </w:r>
      <w:r>
        <w:rPr>
          <w:rFonts w:hint="eastAsia" w:ascii="宋体" w:hAnsi="宋体"/>
        </w:rPr>
        <w:t>在相关分包合同签订并报送有关建设行政主管部门后</w:t>
      </w:r>
      <w:r>
        <w:rPr>
          <w:rFonts w:ascii="宋体" w:hAnsi="宋体"/>
        </w:rPr>
        <w:t>7</w:t>
      </w:r>
      <w:r>
        <w:rPr>
          <w:rFonts w:hint="eastAsia" w:ascii="宋体" w:hAnsi="宋体"/>
        </w:rPr>
        <w:t>天内，承包人应当将一份副本提交给监理人，承包人应保障分包工作不得再次分包。</w:t>
      </w:r>
    </w:p>
    <w:p>
      <w:pPr>
        <w:spacing w:line="360" w:lineRule="auto"/>
        <w:ind w:firstLine="420" w:firstLineChars="200"/>
        <w:rPr>
          <w:rFonts w:ascii="宋体"/>
        </w:rPr>
      </w:pPr>
      <w:r>
        <w:rPr>
          <w:rFonts w:ascii="宋体" w:hAnsi="宋体"/>
        </w:rPr>
        <w:t xml:space="preserve">4.3.6  </w:t>
      </w:r>
      <w:r>
        <w:rPr>
          <w:rFonts w:hint="eastAsia" w:ascii="宋体" w:hAnsi="宋体"/>
        </w:rPr>
        <w:t>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pPr>
        <w:spacing w:line="360" w:lineRule="auto"/>
        <w:ind w:firstLine="420" w:firstLineChars="200"/>
        <w:rPr>
          <w:rFonts w:ascii="宋体"/>
        </w:rPr>
      </w:pPr>
      <w:r>
        <w:rPr>
          <w:rFonts w:ascii="宋体" w:hAnsi="宋体"/>
        </w:rPr>
        <w:t xml:space="preserve">4.3.7  </w:t>
      </w:r>
      <w:r>
        <w:rPr>
          <w:rFonts w:hint="eastAsia" w:ascii="宋体" w:hAnsi="宋体"/>
        </w:rPr>
        <w:t>未经发包人和监理人审批同意的分包工程和分包人，发包人有权拒绝验收分包工程和支付相应款项，由此引起的承包人费用增加和（或）延误的工期由承包人承担。</w:t>
      </w:r>
    </w:p>
    <w:p>
      <w:pPr>
        <w:spacing w:line="360" w:lineRule="auto"/>
        <w:ind w:firstLine="420" w:firstLineChars="200"/>
        <w:rPr>
          <w:rFonts w:ascii="宋体"/>
        </w:rPr>
      </w:pPr>
      <w:r>
        <w:rPr>
          <w:rFonts w:ascii="宋体" w:hAnsi="宋体"/>
        </w:rPr>
        <w:t xml:space="preserve">4.3.8  </w:t>
      </w:r>
      <w:r>
        <w:rPr>
          <w:rFonts w:hint="eastAsia" w:ascii="宋体" w:hAnsi="宋体"/>
        </w:rPr>
        <w:t>分包人的资格能力应与其分包工程的标准和规模相适应。</w:t>
      </w:r>
    </w:p>
    <w:p>
      <w:pPr>
        <w:spacing w:line="360" w:lineRule="auto"/>
        <w:ind w:firstLine="420" w:firstLineChars="200"/>
        <w:rPr>
          <w:rFonts w:ascii="宋体"/>
        </w:rPr>
      </w:pPr>
      <w:r>
        <w:rPr>
          <w:rFonts w:ascii="宋体" w:hAnsi="宋体"/>
        </w:rPr>
        <w:t xml:space="preserve">4.3.9  </w:t>
      </w:r>
      <w:r>
        <w:rPr>
          <w:rFonts w:hint="eastAsia" w:ascii="宋体" w:hAnsi="宋体"/>
        </w:rPr>
        <w:t>发包人同意的分包工程，承包人应向发包人和监理人提供合同副本。</w:t>
      </w:r>
    </w:p>
    <w:p>
      <w:pPr>
        <w:spacing w:line="360" w:lineRule="auto"/>
        <w:ind w:firstLine="420" w:firstLineChars="200"/>
        <w:rPr>
          <w:rFonts w:ascii="宋体"/>
        </w:rPr>
      </w:pPr>
      <w:r>
        <w:rPr>
          <w:rFonts w:ascii="宋体" w:hAnsi="宋体"/>
        </w:rPr>
        <w:t xml:space="preserve">4.3.10  </w:t>
      </w:r>
      <w:r>
        <w:rPr>
          <w:rFonts w:hint="eastAsia" w:ascii="宋体" w:hAnsi="宋体"/>
        </w:rPr>
        <w:t>承包人应与分包人就分包工程向发包人承担连带责任。</w:t>
      </w:r>
    </w:p>
    <w:p>
      <w:pPr>
        <w:pStyle w:val="155"/>
        <w:spacing w:before="120" w:after="120"/>
      </w:pPr>
      <w:bookmarkStart w:id="1890" w:name="_Toc152042421"/>
      <w:bookmarkStart w:id="1891" w:name="_Toc342296294"/>
      <w:bookmarkStart w:id="1892" w:name="_Toc490222525"/>
      <w:bookmarkStart w:id="1893" w:name="_Toc483668109"/>
      <w:bookmarkStart w:id="1894" w:name="_Toc480486762"/>
      <w:bookmarkStart w:id="1895" w:name="_Toc338944736"/>
      <w:bookmarkStart w:id="1896" w:name="_Toc480486934"/>
      <w:bookmarkStart w:id="1897" w:name="_Toc152045643"/>
      <w:bookmarkStart w:id="1898" w:name="_Toc144974611"/>
      <w:bookmarkStart w:id="1899" w:name="_Toc179632661"/>
      <w:bookmarkStart w:id="1900" w:name="_Toc486580080"/>
      <w:bookmarkStart w:id="1901" w:name="_Toc489279891"/>
      <w:bookmarkStart w:id="1902" w:name="_Toc117350444"/>
      <w:r>
        <w:t xml:space="preserve">4.4  </w:t>
      </w:r>
      <w:r>
        <w:rPr>
          <w:rFonts w:hint="eastAsia"/>
        </w:rPr>
        <w:t>联合体</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pPr>
        <w:spacing w:line="360" w:lineRule="auto"/>
        <w:ind w:firstLine="420" w:firstLineChars="200"/>
        <w:rPr>
          <w:rFonts w:ascii="宋体"/>
        </w:rPr>
      </w:pPr>
      <w:r>
        <w:rPr>
          <w:rFonts w:ascii="宋体" w:hAnsi="宋体"/>
        </w:rPr>
        <w:t xml:space="preserve">4.4.1  </w:t>
      </w:r>
      <w:r>
        <w:rPr>
          <w:rFonts w:hint="eastAsia" w:ascii="宋体" w:hAnsi="宋体"/>
        </w:rPr>
        <w:t>联合体各方应共同与发包人签订合同协议书。联合体各方应为履行合同承担连带责任。</w:t>
      </w:r>
    </w:p>
    <w:p>
      <w:pPr>
        <w:spacing w:line="360" w:lineRule="auto"/>
        <w:ind w:firstLine="420" w:firstLineChars="200"/>
        <w:rPr>
          <w:rFonts w:ascii="宋体"/>
        </w:rPr>
      </w:pPr>
      <w:r>
        <w:rPr>
          <w:rFonts w:ascii="宋体" w:hAnsi="宋体"/>
        </w:rPr>
        <w:t xml:space="preserve">4.4.2  </w:t>
      </w:r>
      <w:r>
        <w:rPr>
          <w:rFonts w:hint="eastAsia" w:ascii="宋体" w:hAnsi="宋体"/>
        </w:rPr>
        <w:t>联合体协议经发包人确认后作为合同附件。在履行合同过程中，未经发包人同意，不得修改联合体协议。</w:t>
      </w:r>
    </w:p>
    <w:p>
      <w:pPr>
        <w:spacing w:line="360" w:lineRule="auto"/>
        <w:ind w:firstLine="420" w:firstLineChars="200"/>
        <w:rPr>
          <w:rFonts w:ascii="宋体"/>
        </w:rPr>
      </w:pPr>
      <w:r>
        <w:rPr>
          <w:rFonts w:ascii="宋体" w:hAnsi="宋体"/>
        </w:rPr>
        <w:t xml:space="preserve">4.4.3  </w:t>
      </w:r>
      <w:r>
        <w:rPr>
          <w:rFonts w:hint="eastAsia" w:ascii="宋体" w:hAnsi="宋体"/>
        </w:rPr>
        <w:t>联合体牵头人负责与发包人和监理人联系，并接受指示，负责组织联合体各成员全面履行合同。</w:t>
      </w:r>
    </w:p>
    <w:p>
      <w:pPr>
        <w:pStyle w:val="155"/>
        <w:spacing w:before="120" w:after="120"/>
      </w:pPr>
      <w:bookmarkStart w:id="1903" w:name="_Toc480486763"/>
      <w:bookmarkStart w:id="1904" w:name="_Toc480486935"/>
      <w:bookmarkStart w:id="1905" w:name="_Toc483668110"/>
      <w:bookmarkStart w:id="1906" w:name="_Toc489279892"/>
      <w:bookmarkStart w:id="1907" w:name="_Toc486580081"/>
      <w:bookmarkStart w:id="1908" w:name="_Toc342296295"/>
      <w:bookmarkStart w:id="1909" w:name="_Toc490222526"/>
      <w:bookmarkStart w:id="1910" w:name="_Toc338944737"/>
      <w:bookmarkStart w:id="1911" w:name="_Toc117350445"/>
      <w:r>
        <w:t xml:space="preserve">4.5  </w:t>
      </w:r>
      <w:r>
        <w:rPr>
          <w:rFonts w:hint="eastAsia"/>
        </w:rPr>
        <w:t>承包人项目经理</w:t>
      </w:r>
      <w:bookmarkEnd w:id="1903"/>
      <w:bookmarkEnd w:id="1904"/>
      <w:bookmarkEnd w:id="1905"/>
      <w:bookmarkEnd w:id="1906"/>
      <w:bookmarkEnd w:id="1907"/>
      <w:bookmarkEnd w:id="1908"/>
      <w:bookmarkEnd w:id="1909"/>
      <w:bookmarkEnd w:id="1910"/>
      <w:bookmarkEnd w:id="1911"/>
    </w:p>
    <w:p>
      <w:pPr>
        <w:spacing w:line="360" w:lineRule="auto"/>
        <w:ind w:firstLine="420" w:firstLineChars="200"/>
        <w:rPr>
          <w:rFonts w:ascii="宋体"/>
        </w:rPr>
      </w:pPr>
      <w:r>
        <w:rPr>
          <w:rFonts w:ascii="宋体" w:hAnsi="宋体"/>
        </w:rPr>
        <w:t xml:space="preserve">4.5.1  </w:t>
      </w:r>
      <w:r>
        <w:rPr>
          <w:rFonts w:hint="eastAsia" w:ascii="宋体" w:hAnsi="宋体"/>
          <w:szCs w:val="21"/>
        </w:rPr>
        <w:t>承包人项目经理必须与承包人投标时所承诺的人员一致，并在根据第</w:t>
      </w:r>
      <w:r>
        <w:rPr>
          <w:rFonts w:ascii="宋体" w:hAnsi="宋体"/>
          <w:szCs w:val="21"/>
        </w:rPr>
        <w:t>11.1.1</w:t>
      </w:r>
      <w:r>
        <w:rPr>
          <w:rFonts w:hint="eastAsia" w:ascii="宋体" w:hAnsi="宋体"/>
          <w:szCs w:val="21"/>
        </w:rPr>
        <w:t>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r>
        <w:rPr>
          <w:rFonts w:hint="eastAsia" w:ascii="宋体" w:hAnsi="宋体"/>
        </w:rPr>
        <w:t>承包人更换项目经理应事先征得发包人同意，并应在更换</w:t>
      </w:r>
      <w:r>
        <w:rPr>
          <w:rFonts w:ascii="宋体" w:hAnsi="宋体"/>
        </w:rPr>
        <w:t>14</w:t>
      </w:r>
      <w:r>
        <w:rPr>
          <w:rFonts w:hint="eastAsia" w:ascii="宋体" w:hAnsi="宋体"/>
        </w:rPr>
        <w:t>天前通知发包人和监理人。承包人项目经理短期离开施工场地，应事先征得监理人同意，并委派代表代行其职责。</w:t>
      </w:r>
    </w:p>
    <w:p>
      <w:pPr>
        <w:spacing w:line="360" w:lineRule="auto"/>
        <w:ind w:firstLine="420" w:firstLineChars="200"/>
        <w:rPr>
          <w:rFonts w:ascii="宋体"/>
        </w:rPr>
      </w:pPr>
      <w:r>
        <w:rPr>
          <w:rFonts w:ascii="宋体" w:hAnsi="宋体"/>
        </w:rPr>
        <w:t xml:space="preserve">4.5.2  </w:t>
      </w:r>
      <w:r>
        <w:rPr>
          <w:rFonts w:hint="eastAsia" w:ascii="宋体" w:hAnsi="宋体"/>
        </w:rPr>
        <w:t>承包人项目经理应按合同约定以及监理人按第</w:t>
      </w:r>
      <w:r>
        <w:rPr>
          <w:rFonts w:ascii="宋体" w:hAnsi="宋体"/>
        </w:rPr>
        <w:t>3.4</w:t>
      </w:r>
      <w:r>
        <w:rPr>
          <w:rFonts w:hint="eastAsia" w:ascii="宋体" w:hAnsi="宋体"/>
        </w:rPr>
        <w:t>款作出的指示，负责组织合同工程的实施。在情况紧急且无法与监理人取得联系时，可采取保证工程和人员生命财产安全的紧急措施，并在采取措施后</w:t>
      </w:r>
      <w:r>
        <w:rPr>
          <w:rFonts w:ascii="宋体" w:hAnsi="宋体"/>
        </w:rPr>
        <w:t>24</w:t>
      </w:r>
      <w:r>
        <w:rPr>
          <w:rFonts w:hint="eastAsia" w:ascii="宋体" w:hAnsi="宋体"/>
        </w:rPr>
        <w:t>小时内向监理人提交书面报告。</w:t>
      </w:r>
    </w:p>
    <w:p>
      <w:pPr>
        <w:spacing w:line="360" w:lineRule="auto"/>
        <w:ind w:firstLine="420" w:firstLineChars="200"/>
        <w:rPr>
          <w:rFonts w:ascii="宋体"/>
        </w:rPr>
      </w:pPr>
      <w:r>
        <w:rPr>
          <w:rFonts w:ascii="宋体" w:hAnsi="宋体"/>
        </w:rPr>
        <w:t xml:space="preserve">4.5.3  </w:t>
      </w:r>
      <w:r>
        <w:rPr>
          <w:rFonts w:hint="eastAsia" w:ascii="宋体" w:hAnsi="宋体"/>
        </w:rPr>
        <w:t>承包人为履行合同发出的一切函件均应盖有承包人授权的施工场地管理机构章，并由承包人项目经理或其授权代表签字。</w:t>
      </w:r>
    </w:p>
    <w:p>
      <w:pPr>
        <w:spacing w:line="360" w:lineRule="auto"/>
        <w:ind w:firstLine="420" w:firstLineChars="200"/>
        <w:rPr>
          <w:rFonts w:ascii="宋体"/>
        </w:rPr>
      </w:pPr>
      <w:r>
        <w:rPr>
          <w:rFonts w:ascii="宋体" w:hAnsi="宋体"/>
        </w:rPr>
        <w:t xml:space="preserve">4.5.4  </w:t>
      </w:r>
      <w:r>
        <w:rPr>
          <w:rFonts w:hint="eastAsia" w:ascii="宋体" w:hAnsi="宋体"/>
        </w:rPr>
        <w:t>承包人项目经理可以授权其下属人员履行其某项职责，但事先应将这些人员的姓名和授权范围通知监理人。</w:t>
      </w:r>
    </w:p>
    <w:p>
      <w:pPr>
        <w:pStyle w:val="155"/>
        <w:spacing w:before="120" w:after="120"/>
      </w:pPr>
      <w:bookmarkStart w:id="1912" w:name="_Toc490222527"/>
      <w:bookmarkStart w:id="1913" w:name="_Toc152042423"/>
      <w:bookmarkStart w:id="1914" w:name="_Toc179632663"/>
      <w:bookmarkStart w:id="1915" w:name="_Toc342296296"/>
      <w:bookmarkStart w:id="1916" w:name="_Toc152045645"/>
      <w:bookmarkStart w:id="1917" w:name="_Toc480486936"/>
      <w:bookmarkStart w:id="1918" w:name="_Toc338944738"/>
      <w:bookmarkStart w:id="1919" w:name="_Toc483668111"/>
      <w:bookmarkStart w:id="1920" w:name="_Toc480486764"/>
      <w:bookmarkStart w:id="1921" w:name="_Toc144974613"/>
      <w:bookmarkStart w:id="1922" w:name="_Toc486580082"/>
      <w:bookmarkStart w:id="1923" w:name="_Toc489279893"/>
      <w:bookmarkStart w:id="1924" w:name="_Toc117350446"/>
      <w:r>
        <w:t xml:space="preserve">4.6  </w:t>
      </w:r>
      <w:r>
        <w:rPr>
          <w:rFonts w:hint="eastAsia"/>
        </w:rPr>
        <w:t>承包人人员的管理</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pPr>
        <w:spacing w:line="360" w:lineRule="auto"/>
        <w:ind w:firstLine="420" w:firstLineChars="200"/>
        <w:rPr>
          <w:rFonts w:ascii="宋体"/>
        </w:rPr>
      </w:pPr>
      <w:r>
        <w:rPr>
          <w:rFonts w:ascii="宋体" w:hAnsi="宋体"/>
        </w:rPr>
        <w:t xml:space="preserve">4.6.1  </w:t>
      </w:r>
      <w:r>
        <w:rPr>
          <w:rFonts w:hint="eastAsia" w:ascii="宋体" w:hAnsi="宋体"/>
        </w:rPr>
        <w:t>承包人应在接到开工通知后</w:t>
      </w:r>
      <w:r>
        <w:rPr>
          <w:rFonts w:ascii="宋体" w:hAnsi="宋体"/>
        </w:rPr>
        <w:t>28</w:t>
      </w:r>
      <w:r>
        <w:rPr>
          <w:rFonts w:hint="eastAsia" w:ascii="宋体" w:hAnsi="宋体"/>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rFonts w:ascii="宋体"/>
        </w:rPr>
      </w:pPr>
      <w:r>
        <w:rPr>
          <w:rFonts w:ascii="宋体" w:hAnsi="宋体"/>
        </w:rPr>
        <w:t xml:space="preserve">4.6.2  </w:t>
      </w:r>
      <w:r>
        <w:rPr>
          <w:rFonts w:hint="eastAsia" w:ascii="宋体" w:hAnsi="宋体"/>
        </w:rPr>
        <w:t>为完成合同约定的各项工作，承包人应向施工场地派遣或雇佣足够数量的下列人员：</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）具有相应资格的专业技工和合格的普工；</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）具有相应施工经验的技术人员；</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）具有相应岗位资格的各级管理人员</w:t>
      </w:r>
      <w:bookmarkStart w:id="1925" w:name="_Hlk114649430"/>
      <w:r>
        <w:rPr>
          <w:rFonts w:hint="eastAsia" w:ascii="宋体" w:hAnsi="宋体"/>
        </w:rPr>
        <w:t>（包含符合工程项目规模和技术难度的涉及消防各专业齐全、具备相应能力的质量管理人员）。</w:t>
      </w:r>
      <w:bookmarkEnd w:id="1925"/>
    </w:p>
    <w:p>
      <w:pPr>
        <w:spacing w:line="360" w:lineRule="auto"/>
        <w:ind w:firstLine="420" w:firstLineChars="200"/>
        <w:rPr>
          <w:rFonts w:ascii="宋体"/>
        </w:rPr>
      </w:pPr>
      <w:r>
        <w:rPr>
          <w:rFonts w:ascii="宋体" w:hAnsi="宋体"/>
        </w:rPr>
        <w:t xml:space="preserve">4.6.3  </w:t>
      </w:r>
      <w:r>
        <w:rPr>
          <w:rFonts w:hint="eastAsia" w:ascii="宋体" w:hAnsi="宋体"/>
        </w:rPr>
        <w:t>承包人安排在施工场地的主要管理人员和技术骨干应相对稳定。承包人更换主要管理人员和技术骨干时，应取得监理人的同意。</w:t>
      </w:r>
    </w:p>
    <w:p>
      <w:pPr>
        <w:spacing w:line="360" w:lineRule="auto"/>
        <w:ind w:firstLine="420" w:firstLineChars="200"/>
        <w:rPr>
          <w:rFonts w:ascii="宋体"/>
        </w:rPr>
      </w:pPr>
      <w:r>
        <w:rPr>
          <w:rFonts w:ascii="宋体" w:hAnsi="宋体"/>
        </w:rPr>
        <w:t xml:space="preserve">4.6.4  </w:t>
      </w:r>
      <w:r>
        <w:rPr>
          <w:rFonts w:hint="eastAsia" w:ascii="宋体" w:hAnsi="宋体"/>
        </w:rPr>
        <w:t>特殊岗位的工作人员均应持有相应的资格证明，监理人有权随时检查。监理人认为有必要时，可进行现场考核。</w:t>
      </w:r>
    </w:p>
    <w:p>
      <w:pPr>
        <w:spacing w:line="360" w:lineRule="auto"/>
        <w:ind w:firstLine="420" w:firstLineChars="200"/>
        <w:rPr>
          <w:rFonts w:ascii="宋体"/>
        </w:rPr>
      </w:pPr>
      <w:r>
        <w:rPr>
          <w:rFonts w:ascii="宋体" w:hAnsi="宋体"/>
        </w:rPr>
        <w:t xml:space="preserve">4.6.5  </w:t>
      </w:r>
      <w:r>
        <w:rPr>
          <w:rFonts w:hint="eastAsia" w:ascii="宋体" w:hAnsi="宋体"/>
        </w:rPr>
        <w:t>严格落实疫情防控常态化有关要求，核实项目人员身份及做好人员健康信息档案，不使用零散工和无健康信息的劳务人员，</w:t>
      </w:r>
      <w:r>
        <w:rPr>
          <w:rFonts w:ascii="宋体" w:hAnsi="宋体"/>
        </w:rPr>
        <w:t xml:space="preserve"> </w:t>
      </w:r>
      <w:r>
        <w:rPr>
          <w:rFonts w:hint="eastAsia" w:ascii="宋体" w:hAnsi="宋体"/>
        </w:rPr>
        <w:t>不得使用按照有关规定需要隔离观察的劳务人员；现场进口设立体温监测点，对所有进入施工现场人员进行体温检测和“健康码”查验，核对人员身份和健康状况，凡有发热、干咳等症状的，禁止其进入，并及时报告和妥善处置；在人员密集的封闭场所与他人小于</w:t>
      </w:r>
      <w:r>
        <w:rPr>
          <w:rFonts w:ascii="宋体" w:hAnsi="宋体"/>
        </w:rPr>
        <w:t>1</w:t>
      </w:r>
      <w:r>
        <w:rPr>
          <w:rFonts w:hint="eastAsia" w:ascii="宋体" w:hAnsi="宋体"/>
        </w:rPr>
        <w:t>米距离接触时要佩戴口罩。同时加强公共卫生教育培训，引导施工现场人员养成勤洗手、常通风、科学佩戴口罩、使用公勺公筷等良好卫生习惯，确保疫情防控管理常态化。</w:t>
      </w:r>
    </w:p>
    <w:p>
      <w:pPr>
        <w:pStyle w:val="155"/>
        <w:spacing w:before="120" w:after="120"/>
      </w:pPr>
      <w:bookmarkStart w:id="1926" w:name="_Toc480486937"/>
      <w:bookmarkStart w:id="1927" w:name="_Toc338944739"/>
      <w:bookmarkStart w:id="1928" w:name="_Toc179632664"/>
      <w:bookmarkStart w:id="1929" w:name="_Toc483668112"/>
      <w:bookmarkStart w:id="1930" w:name="_Toc144974614"/>
      <w:bookmarkStart w:id="1931" w:name="_Toc486580083"/>
      <w:bookmarkStart w:id="1932" w:name="_Toc342296297"/>
      <w:bookmarkStart w:id="1933" w:name="_Toc480486765"/>
      <w:bookmarkStart w:id="1934" w:name="_Toc152045646"/>
      <w:bookmarkStart w:id="1935" w:name="_Toc490222528"/>
      <w:bookmarkStart w:id="1936" w:name="_Toc489279894"/>
      <w:bookmarkStart w:id="1937" w:name="_Toc152042424"/>
      <w:bookmarkStart w:id="1938" w:name="_Toc117350447"/>
      <w:r>
        <w:t xml:space="preserve">4.7  </w:t>
      </w:r>
      <w:r>
        <w:rPr>
          <w:rFonts w:hint="eastAsia"/>
        </w:rPr>
        <w:t>撤换承包人项目经理和其他人员</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pPr>
        <w:spacing w:line="360" w:lineRule="auto"/>
        <w:ind w:firstLine="420" w:firstLineChars="200"/>
        <w:rPr>
          <w:rFonts w:ascii="宋体"/>
        </w:rPr>
      </w:pPr>
      <w:r>
        <w:rPr>
          <w:rFonts w:hint="eastAsia" w:ascii="宋体" w:hAnsi="宋体"/>
        </w:rPr>
        <w:t>承包人应对其项目经理和其他人员进行有效管理。监理人要求撤换不能胜任本职工作、行为不端或玩忽职守的承包人项目经理和其他人员的，承包人应予以撤换。</w:t>
      </w:r>
    </w:p>
    <w:p>
      <w:pPr>
        <w:pStyle w:val="155"/>
        <w:spacing w:before="120" w:after="120"/>
      </w:pPr>
      <w:bookmarkStart w:id="1939" w:name="_Toc152045647"/>
      <w:bookmarkStart w:id="1940" w:name="_Toc480486766"/>
      <w:bookmarkStart w:id="1941" w:name="_Toc144974615"/>
      <w:bookmarkStart w:id="1942" w:name="_Toc338944740"/>
      <w:bookmarkStart w:id="1943" w:name="_Toc483668113"/>
      <w:bookmarkStart w:id="1944" w:name="_Toc179632665"/>
      <w:bookmarkStart w:id="1945" w:name="_Toc342296298"/>
      <w:bookmarkStart w:id="1946" w:name="_Toc480486938"/>
      <w:bookmarkStart w:id="1947" w:name="_Toc152042425"/>
      <w:bookmarkStart w:id="1948" w:name="_Toc490222529"/>
      <w:bookmarkStart w:id="1949" w:name="_Toc489279895"/>
      <w:bookmarkStart w:id="1950" w:name="_Toc486580084"/>
      <w:bookmarkStart w:id="1951" w:name="_Toc117350448"/>
      <w:r>
        <w:t xml:space="preserve">4.8  </w:t>
      </w:r>
      <w:r>
        <w:rPr>
          <w:rFonts w:hint="eastAsia"/>
        </w:rPr>
        <w:t>保障承包人人员的合法权益</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pPr>
        <w:spacing w:line="360" w:lineRule="auto"/>
        <w:ind w:firstLine="420" w:firstLineChars="200"/>
        <w:rPr>
          <w:rFonts w:ascii="宋体"/>
        </w:rPr>
      </w:pPr>
      <w:r>
        <w:rPr>
          <w:rFonts w:ascii="宋体" w:hAnsi="宋体"/>
        </w:rPr>
        <w:t xml:space="preserve">4.8.1  </w:t>
      </w:r>
      <w:r>
        <w:rPr>
          <w:rFonts w:hint="eastAsia" w:ascii="宋体" w:hAnsi="宋体"/>
        </w:rPr>
        <w:t>承包人应与其雇佣的人员签订劳动合同，并按时发放工资。</w:t>
      </w:r>
    </w:p>
    <w:p>
      <w:pPr>
        <w:spacing w:line="360" w:lineRule="auto"/>
        <w:ind w:firstLine="420" w:firstLineChars="200"/>
        <w:rPr>
          <w:rFonts w:ascii="宋体"/>
        </w:rPr>
      </w:pPr>
      <w:r>
        <w:rPr>
          <w:rFonts w:ascii="宋体" w:hAnsi="宋体"/>
        </w:rPr>
        <w:t xml:space="preserve">4.8.2  </w:t>
      </w:r>
      <w:r>
        <w:rPr>
          <w:rFonts w:hint="eastAsia" w:ascii="宋体" w:hAnsi="宋体"/>
        </w:rPr>
        <w:t>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rFonts w:ascii="宋体"/>
        </w:rPr>
      </w:pPr>
      <w:r>
        <w:rPr>
          <w:rFonts w:ascii="宋体" w:hAnsi="宋体"/>
        </w:rPr>
        <w:t xml:space="preserve">4.8.3  </w:t>
      </w:r>
      <w:r>
        <w:rPr>
          <w:rFonts w:hint="eastAsia" w:ascii="宋体" w:hAnsi="宋体"/>
        </w:rPr>
        <w:t>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rFonts w:ascii="宋体"/>
        </w:rPr>
      </w:pPr>
      <w:r>
        <w:rPr>
          <w:rFonts w:ascii="宋体" w:hAnsi="宋体"/>
        </w:rPr>
        <w:t xml:space="preserve">4.8.4  </w:t>
      </w:r>
      <w:r>
        <w:rPr>
          <w:rFonts w:hint="eastAsia" w:ascii="宋体" w:hAnsi="宋体"/>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rFonts w:ascii="宋体"/>
        </w:rPr>
      </w:pPr>
      <w:r>
        <w:rPr>
          <w:rFonts w:ascii="宋体" w:hAnsi="宋体"/>
        </w:rPr>
        <w:t xml:space="preserve">4.8.5  </w:t>
      </w:r>
      <w:r>
        <w:rPr>
          <w:rFonts w:hint="eastAsia" w:ascii="宋体" w:hAnsi="宋体"/>
        </w:rPr>
        <w:t>承包人应按有关法律规定和合同约定，为其雇佣人员办理保险。</w:t>
      </w:r>
    </w:p>
    <w:p>
      <w:pPr>
        <w:spacing w:line="360" w:lineRule="auto"/>
        <w:ind w:firstLine="420" w:firstLineChars="200"/>
        <w:rPr>
          <w:rFonts w:ascii="宋体"/>
        </w:rPr>
      </w:pPr>
      <w:r>
        <w:rPr>
          <w:rFonts w:ascii="宋体" w:hAnsi="宋体"/>
        </w:rPr>
        <w:t xml:space="preserve">4.8.6  </w:t>
      </w:r>
      <w:r>
        <w:rPr>
          <w:rFonts w:hint="eastAsia" w:ascii="宋体" w:hAnsi="宋体"/>
        </w:rPr>
        <w:t>承包人应负责处理其雇佣人员因工伤亡事故的善后事宜。</w:t>
      </w:r>
    </w:p>
    <w:p>
      <w:pPr>
        <w:pStyle w:val="155"/>
        <w:spacing w:before="120" w:after="120"/>
      </w:pPr>
      <w:bookmarkStart w:id="1952" w:name="_Toc480486939"/>
      <w:bookmarkStart w:id="1953" w:name="_Toc338944741"/>
      <w:bookmarkStart w:id="1954" w:name="_Toc152042426"/>
      <w:bookmarkStart w:id="1955" w:name="_Toc152045648"/>
      <w:bookmarkStart w:id="1956" w:name="_Toc480486767"/>
      <w:bookmarkStart w:id="1957" w:name="_Toc179632666"/>
      <w:bookmarkStart w:id="1958" w:name="_Toc483668114"/>
      <w:bookmarkStart w:id="1959" w:name="_Toc490222530"/>
      <w:bookmarkStart w:id="1960" w:name="_Toc489279896"/>
      <w:bookmarkStart w:id="1961" w:name="_Toc342296299"/>
      <w:bookmarkStart w:id="1962" w:name="_Toc144974616"/>
      <w:bookmarkStart w:id="1963" w:name="_Toc486580085"/>
      <w:bookmarkStart w:id="1964" w:name="_Toc117350449"/>
      <w:r>
        <w:t xml:space="preserve">4.9  </w:t>
      </w:r>
      <w:r>
        <w:rPr>
          <w:rFonts w:hint="eastAsia"/>
        </w:rPr>
        <w:t>工程价款应专款专用</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pPr>
        <w:spacing w:line="360" w:lineRule="auto"/>
        <w:ind w:firstLine="420" w:firstLineChars="200"/>
        <w:rPr>
          <w:rFonts w:ascii="宋体"/>
        </w:rPr>
      </w:pPr>
      <w:r>
        <w:rPr>
          <w:rFonts w:hint="eastAsia" w:ascii="宋体" w:hAnsi="宋体"/>
        </w:rPr>
        <w:t>发包人按合同约定支付给承包人的各项价款应专用于合同工程。</w:t>
      </w:r>
    </w:p>
    <w:p>
      <w:pPr>
        <w:pStyle w:val="155"/>
        <w:spacing w:before="120" w:after="120"/>
      </w:pPr>
      <w:bookmarkStart w:id="1965" w:name="_Toc490222531"/>
      <w:bookmarkStart w:id="1966" w:name="_Toc480486768"/>
      <w:bookmarkStart w:id="1967" w:name="_Toc179632667"/>
      <w:bookmarkStart w:id="1968" w:name="_Toc152042427"/>
      <w:bookmarkStart w:id="1969" w:name="_Toc483668115"/>
      <w:bookmarkStart w:id="1970" w:name="_Toc489279897"/>
      <w:bookmarkStart w:id="1971" w:name="_Toc144974617"/>
      <w:bookmarkStart w:id="1972" w:name="_Toc152045649"/>
      <w:bookmarkStart w:id="1973" w:name="_Toc480486940"/>
      <w:bookmarkStart w:id="1974" w:name="_Toc338944742"/>
      <w:bookmarkStart w:id="1975" w:name="_Toc486580086"/>
      <w:bookmarkStart w:id="1976" w:name="_Toc342296300"/>
      <w:bookmarkStart w:id="1977" w:name="_Toc117350450"/>
      <w:r>
        <w:t xml:space="preserve">4.10  </w:t>
      </w:r>
      <w:r>
        <w:rPr>
          <w:rFonts w:hint="eastAsia"/>
        </w:rPr>
        <w:t>承包人现场查勘</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pPr>
        <w:spacing w:line="360" w:lineRule="auto"/>
        <w:ind w:firstLine="420" w:firstLineChars="200"/>
        <w:rPr>
          <w:rFonts w:ascii="宋体"/>
        </w:rPr>
      </w:pPr>
      <w:r>
        <w:rPr>
          <w:rFonts w:ascii="宋体" w:hAnsi="宋体"/>
        </w:rPr>
        <w:t xml:space="preserve">4.10.1  </w:t>
      </w:r>
      <w:r>
        <w:rPr>
          <w:rFonts w:hint="eastAsia" w:ascii="宋体" w:hAnsi="宋体"/>
        </w:rPr>
        <w:t>发包人应将其持有的现场地质勘探资料、水文气象资料提供给承包人，并对其准确性负责。但承包人应对其阅读上述有关资料后所作出的解释和推断负责。</w:t>
      </w:r>
    </w:p>
    <w:p>
      <w:pPr>
        <w:spacing w:line="360" w:lineRule="auto"/>
        <w:ind w:firstLine="420" w:firstLineChars="200"/>
        <w:rPr>
          <w:rFonts w:ascii="宋体"/>
        </w:rPr>
      </w:pPr>
      <w:r>
        <w:rPr>
          <w:rFonts w:ascii="宋体" w:hAnsi="宋体"/>
        </w:rPr>
        <w:t xml:space="preserve">4.10.2  </w:t>
      </w:r>
      <w:r>
        <w:rPr>
          <w:rFonts w:hint="eastAsia" w:ascii="宋体" w:hAnsi="宋体"/>
        </w:rPr>
        <w:t>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155"/>
        <w:spacing w:before="120" w:after="120"/>
      </w:pPr>
      <w:bookmarkStart w:id="1978" w:name="_Toc117350451"/>
      <w:bookmarkStart w:id="1979" w:name="_Toc486580087"/>
      <w:bookmarkStart w:id="1980" w:name="_Toc489279898"/>
      <w:bookmarkStart w:id="1981" w:name="_Toc342296301"/>
      <w:bookmarkStart w:id="1982" w:name="_Toc480486769"/>
      <w:bookmarkStart w:id="1983" w:name="_Toc480486941"/>
      <w:bookmarkStart w:id="1984" w:name="_Toc483668116"/>
      <w:bookmarkStart w:id="1985" w:name="_Toc490222532"/>
      <w:bookmarkStart w:id="1986" w:name="_Toc338944743"/>
      <w:r>
        <w:t xml:space="preserve">4.11  </w:t>
      </w:r>
      <w:r>
        <w:rPr>
          <w:rFonts w:hint="eastAsia"/>
        </w:rPr>
        <w:t>不利物质条件</w:t>
      </w:r>
      <w:bookmarkEnd w:id="1978"/>
      <w:bookmarkEnd w:id="1979"/>
      <w:bookmarkEnd w:id="1980"/>
      <w:bookmarkEnd w:id="1981"/>
      <w:bookmarkEnd w:id="1982"/>
      <w:bookmarkEnd w:id="1983"/>
      <w:bookmarkEnd w:id="1984"/>
      <w:bookmarkEnd w:id="1985"/>
      <w:bookmarkEnd w:id="1986"/>
    </w:p>
    <w:p>
      <w:pPr>
        <w:spacing w:line="360" w:lineRule="auto"/>
        <w:ind w:firstLine="420" w:firstLineChars="200"/>
        <w:rPr>
          <w:rFonts w:ascii="宋体"/>
          <w:szCs w:val="21"/>
        </w:rPr>
      </w:pPr>
      <w:r>
        <w:rPr>
          <w:rFonts w:ascii="宋体" w:hAnsi="宋体"/>
        </w:rPr>
        <w:t xml:space="preserve">4.11.1  </w:t>
      </w:r>
      <w:r>
        <w:rPr>
          <w:rFonts w:hint="eastAsia" w:ascii="宋体" w:hAnsi="宋体"/>
        </w:rPr>
        <w:t>不利物质条件一般是指承包人在施工场地遇到的不可预见的自然物质条件、非自然的物质障碍和污染物，包括地下和水文条件，但不包括气候条件。不利物质条件的具体范围</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4.11.2  </w:t>
      </w:r>
      <w:r>
        <w:rPr>
          <w:rFonts w:hint="eastAsia" w:ascii="宋体" w:hAnsi="宋体"/>
        </w:rPr>
        <w:t>承包人遇到不利物质条件时，应采取适应不利物质条件的合理措施继续施工，并及时通知监理人。监理人应当及时发出指示，指示构成变更的，按第</w:t>
      </w:r>
      <w:r>
        <w:rPr>
          <w:rFonts w:ascii="宋体" w:hAnsi="宋体"/>
        </w:rPr>
        <w:t>15</w:t>
      </w:r>
      <w:r>
        <w:rPr>
          <w:rFonts w:hint="eastAsia" w:ascii="宋体" w:hAnsi="宋体"/>
        </w:rPr>
        <w:t>条约定办理。监理人没有发出指示的，承包人因采取合理措施增加的费用和（或）工期延误，由发包人承担。</w:t>
      </w:r>
    </w:p>
    <w:p>
      <w:pPr>
        <w:pStyle w:val="144"/>
        <w:spacing w:before="120" w:after="120"/>
      </w:pPr>
      <w:bookmarkStart w:id="1987" w:name="_Toc338944744"/>
      <w:bookmarkStart w:id="1988" w:name="_Toc486580088"/>
      <w:bookmarkStart w:id="1989" w:name="_Toc117350452"/>
      <w:bookmarkStart w:id="1990" w:name="_Toc480486942"/>
      <w:bookmarkStart w:id="1991" w:name="_Toc489279899"/>
      <w:bookmarkStart w:id="1992" w:name="_Toc483668117"/>
      <w:bookmarkStart w:id="1993" w:name="_Toc490222533"/>
      <w:bookmarkStart w:id="1994" w:name="_Toc342296302"/>
      <w:bookmarkStart w:id="1995" w:name="_Toc480486770"/>
      <w:r>
        <w:t>5.</w:t>
      </w:r>
      <w:r>
        <w:rPr>
          <w:rFonts w:hint="eastAsia"/>
        </w:rPr>
        <w:t>材料和工程设备</w:t>
      </w:r>
      <w:bookmarkEnd w:id="1987"/>
      <w:bookmarkEnd w:id="1988"/>
      <w:bookmarkEnd w:id="1989"/>
      <w:bookmarkEnd w:id="1990"/>
      <w:bookmarkEnd w:id="1991"/>
      <w:bookmarkEnd w:id="1992"/>
      <w:bookmarkEnd w:id="1993"/>
      <w:bookmarkEnd w:id="1994"/>
      <w:bookmarkEnd w:id="1995"/>
    </w:p>
    <w:p>
      <w:pPr>
        <w:pStyle w:val="155"/>
        <w:spacing w:before="120" w:after="120"/>
      </w:pPr>
      <w:bookmarkStart w:id="1996" w:name="_Toc486580089"/>
      <w:bookmarkStart w:id="1997" w:name="_Toc342296303"/>
      <w:bookmarkStart w:id="1998" w:name="_Toc489279900"/>
      <w:bookmarkStart w:id="1999" w:name="_Toc483668118"/>
      <w:bookmarkStart w:id="2000" w:name="_Toc117350453"/>
      <w:bookmarkStart w:id="2001" w:name="_Toc490222534"/>
      <w:bookmarkStart w:id="2002" w:name="_Toc480486943"/>
      <w:bookmarkStart w:id="2003" w:name="_Toc338944745"/>
      <w:bookmarkStart w:id="2004" w:name="_Toc480486771"/>
      <w:r>
        <w:t xml:space="preserve">5.1  </w:t>
      </w:r>
      <w:r>
        <w:rPr>
          <w:rFonts w:hint="eastAsia"/>
        </w:rPr>
        <w:t>承包人提供的材料和工程设备</w:t>
      </w:r>
      <w:bookmarkEnd w:id="1996"/>
      <w:bookmarkEnd w:id="1997"/>
      <w:bookmarkEnd w:id="1998"/>
      <w:bookmarkEnd w:id="1999"/>
      <w:bookmarkEnd w:id="2000"/>
      <w:bookmarkEnd w:id="2001"/>
      <w:bookmarkEnd w:id="2002"/>
      <w:bookmarkEnd w:id="2003"/>
      <w:bookmarkEnd w:id="2004"/>
    </w:p>
    <w:p>
      <w:pPr>
        <w:spacing w:line="360" w:lineRule="auto"/>
        <w:ind w:firstLine="420" w:firstLineChars="200"/>
        <w:rPr>
          <w:rFonts w:ascii="黑体" w:hAnsi="黑体" w:eastAsia="黑体"/>
        </w:rPr>
      </w:pPr>
      <w:r>
        <w:rPr>
          <w:rFonts w:ascii="宋体" w:hAnsi="宋体"/>
        </w:rPr>
        <w:t xml:space="preserve">5.1.1  </w:t>
      </w:r>
      <w:r>
        <w:rPr>
          <w:rFonts w:hint="eastAsia" w:ascii="宋体" w:hAnsi="宋体"/>
          <w:szCs w:val="21"/>
        </w:rPr>
        <w:t>除第</w:t>
      </w:r>
      <w:r>
        <w:rPr>
          <w:rFonts w:ascii="宋体" w:hAnsi="宋体"/>
          <w:szCs w:val="21"/>
        </w:rPr>
        <w:t>5.2</w:t>
      </w:r>
      <w:r>
        <w:rPr>
          <w:rFonts w:hint="eastAsia" w:ascii="宋体" w:hAnsi="宋体"/>
          <w:szCs w:val="21"/>
        </w:rPr>
        <w:t>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w:t>
      </w:r>
      <w:r>
        <w:rPr>
          <w:rFonts w:hint="eastAsia" w:ascii="宋体" w:hAnsi="宋体" w:cs="Arial"/>
        </w:rPr>
        <w:t>达到规定的规模标准的，以及虽不属于依法必须招标的范围但合同中约定采用招标方式采购的，应当按第</w:t>
      </w:r>
      <w:r>
        <w:rPr>
          <w:rFonts w:ascii="宋体" w:hAnsi="宋体" w:cs="Arial"/>
        </w:rPr>
        <w:t>15.8.1</w:t>
      </w:r>
      <w:r>
        <w:rPr>
          <w:rFonts w:hint="eastAsia" w:ascii="宋体" w:hAnsi="宋体" w:cs="Arial"/>
        </w:rPr>
        <w:t>项的约定，</w:t>
      </w:r>
      <w:r>
        <w:rPr>
          <w:rFonts w:hint="eastAsia" w:ascii="宋体" w:hAnsi="宋体"/>
          <w:szCs w:val="21"/>
        </w:rPr>
        <w:t>由发包人和承包人以招标方式确定专项供应商。承包人负责提供的主要材料和工程设备清单</w:t>
      </w:r>
      <w:r>
        <w:rPr>
          <w:rFonts w:hint="eastAsia" w:ascii="黑体" w:hAnsi="黑体" w:eastAsia="黑体"/>
          <w:szCs w:val="21"/>
        </w:rPr>
        <w:t>见合同条款专用部分“附件三：承包人提供的材料和工程设备一览表”。</w:t>
      </w:r>
    </w:p>
    <w:p>
      <w:pPr>
        <w:spacing w:line="360" w:lineRule="auto"/>
        <w:ind w:firstLine="420" w:firstLineChars="200"/>
        <w:rPr>
          <w:rFonts w:ascii="黑体" w:hAnsi="黑体" w:eastAsia="黑体"/>
        </w:rPr>
      </w:pPr>
      <w:r>
        <w:rPr>
          <w:rFonts w:ascii="宋体" w:hAnsi="宋体"/>
        </w:rPr>
        <w:t xml:space="preserve">5.1.2  </w:t>
      </w:r>
      <w:r>
        <w:rPr>
          <w:rFonts w:hint="eastAsia" w:ascii="宋体" w:hAnsi="宋体"/>
        </w:rPr>
        <w:t>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5.1.3  </w:t>
      </w:r>
      <w:r>
        <w:rPr>
          <w:rFonts w:hint="eastAsia" w:ascii="宋体" w:hAnsi="宋体"/>
        </w:rPr>
        <w:t>对承包人提供的材料和工程设备，承包人应会同监理人进行检验和交货验收，查验材料合格证明和产品合格证书，并按照合同约定和监理人指示，进行材料的抽样检验和工程设备的检验测试，检验和测试结果应提交监理人，所需费用由承包人承担。</w:t>
      </w:r>
    </w:p>
    <w:p>
      <w:pPr>
        <w:pStyle w:val="155"/>
        <w:spacing w:before="120" w:after="120"/>
      </w:pPr>
      <w:bookmarkStart w:id="2005" w:name="_Toc338944746"/>
      <w:bookmarkStart w:id="2006" w:name="_Toc486580090"/>
      <w:bookmarkStart w:id="2007" w:name="_Toc117350454"/>
      <w:bookmarkStart w:id="2008" w:name="_Toc490222535"/>
      <w:bookmarkStart w:id="2009" w:name="_Toc342296304"/>
      <w:bookmarkStart w:id="2010" w:name="_Toc480486772"/>
      <w:bookmarkStart w:id="2011" w:name="_Toc483668119"/>
      <w:bookmarkStart w:id="2012" w:name="_Toc489279901"/>
      <w:bookmarkStart w:id="2013" w:name="_Toc480486944"/>
      <w:r>
        <w:t xml:space="preserve">5.2  </w:t>
      </w:r>
      <w:r>
        <w:rPr>
          <w:rFonts w:hint="eastAsia"/>
        </w:rPr>
        <w:t>发包人提供的材料和工程设备</w:t>
      </w:r>
      <w:bookmarkEnd w:id="2005"/>
      <w:bookmarkEnd w:id="2006"/>
      <w:bookmarkEnd w:id="2007"/>
      <w:bookmarkEnd w:id="2008"/>
      <w:bookmarkEnd w:id="2009"/>
      <w:bookmarkEnd w:id="2010"/>
      <w:bookmarkEnd w:id="2011"/>
      <w:bookmarkEnd w:id="2012"/>
      <w:bookmarkEnd w:id="2013"/>
    </w:p>
    <w:p>
      <w:pPr>
        <w:spacing w:line="360" w:lineRule="auto"/>
        <w:ind w:firstLine="420" w:firstLineChars="200"/>
        <w:rPr>
          <w:rFonts w:ascii="宋体"/>
        </w:rPr>
      </w:pPr>
      <w:r>
        <w:rPr>
          <w:rFonts w:ascii="宋体" w:hAnsi="宋体"/>
        </w:rPr>
        <w:t xml:space="preserve">5.2.1  </w:t>
      </w:r>
      <w:r>
        <w:rPr>
          <w:rFonts w:hint="eastAsia" w:ascii="宋体" w:hAnsi="宋体"/>
          <w:szCs w:val="21"/>
        </w:rPr>
        <w:t>发包人负责提供的材料和工程设备的名称、规格、数量、价格、交货方式、交货地点和计划交货日期等</w:t>
      </w:r>
      <w:r>
        <w:rPr>
          <w:rFonts w:hint="eastAsia" w:ascii="黑体" w:hAnsi="黑体" w:eastAsia="黑体"/>
          <w:szCs w:val="21"/>
        </w:rPr>
        <w:t>见合同条款专用部分“附件四：发包人提供的材料和工程设备一览表”。</w:t>
      </w:r>
    </w:p>
    <w:p>
      <w:pPr>
        <w:spacing w:line="360" w:lineRule="auto"/>
        <w:ind w:firstLine="420" w:firstLineChars="200"/>
        <w:rPr>
          <w:rFonts w:ascii="宋体"/>
        </w:rPr>
      </w:pPr>
      <w:r>
        <w:rPr>
          <w:rFonts w:ascii="宋体" w:hAnsi="宋体"/>
        </w:rPr>
        <w:t xml:space="preserve">5.2.2  </w:t>
      </w:r>
      <w:r>
        <w:rPr>
          <w:rFonts w:hint="eastAsia" w:ascii="宋体" w:hAnsi="宋体"/>
        </w:rPr>
        <w:t>承包人应根据合同进度计划的安排，向监理人报送要求发包人交货的日期计划。发包人应按照监理人与合同双方当事人商定的交货日期，向承包人提交材料和工程设备。</w:t>
      </w:r>
    </w:p>
    <w:p>
      <w:pPr>
        <w:spacing w:line="360" w:lineRule="auto"/>
        <w:ind w:firstLine="420" w:firstLineChars="200"/>
        <w:rPr>
          <w:rFonts w:ascii="宋体"/>
        </w:rPr>
      </w:pPr>
      <w:r>
        <w:rPr>
          <w:rFonts w:ascii="宋体" w:hAnsi="宋体"/>
        </w:rPr>
        <w:t xml:space="preserve">5.2.3  </w:t>
      </w:r>
      <w:r>
        <w:rPr>
          <w:rFonts w:hint="eastAsia" w:ascii="宋体" w:hAnsi="宋体"/>
        </w:rPr>
        <w:t>发包人应在材料和工程设备到货</w:t>
      </w:r>
      <w:r>
        <w:rPr>
          <w:rFonts w:ascii="宋体" w:hAnsi="宋体"/>
        </w:rPr>
        <w:t>7</w:t>
      </w:r>
      <w:r>
        <w:rPr>
          <w:rFonts w:hint="eastAsia" w:ascii="宋体" w:hAnsi="宋体"/>
        </w:rPr>
        <w:t>天前通知承包人，承包人应会同监理人在约定的时间内，赴交货地点共同进行验收。</w:t>
      </w:r>
      <w:r>
        <w:rPr>
          <w:rFonts w:hint="eastAsia" w:ascii="宋体" w:hAnsi="宋体"/>
          <w:szCs w:val="21"/>
        </w:rPr>
        <w:t>由发包人提供的材料和工程设备验收后，由承包人负责接收、运输和保管。</w:t>
      </w:r>
    </w:p>
    <w:p>
      <w:pPr>
        <w:spacing w:line="360" w:lineRule="auto"/>
        <w:ind w:firstLine="420" w:firstLineChars="200"/>
        <w:rPr>
          <w:rFonts w:ascii="宋体"/>
        </w:rPr>
      </w:pPr>
      <w:r>
        <w:rPr>
          <w:rFonts w:ascii="宋体" w:hAnsi="宋体"/>
        </w:rPr>
        <w:t xml:space="preserve">5.2.4  </w:t>
      </w:r>
      <w:r>
        <w:rPr>
          <w:rFonts w:hint="eastAsia" w:ascii="宋体" w:hAnsi="宋体"/>
        </w:rPr>
        <w:t>发包人要求向承包人提前交货的，承包人不得拒绝，但发包人应承担承包人由此增加的费用。</w:t>
      </w:r>
      <w:r>
        <w:rPr>
          <w:rFonts w:ascii="宋体" w:hAnsi="宋体"/>
        </w:rPr>
        <w:t xml:space="preserve"> </w:t>
      </w:r>
    </w:p>
    <w:p>
      <w:pPr>
        <w:spacing w:line="360" w:lineRule="auto"/>
        <w:ind w:firstLine="420" w:firstLineChars="200"/>
        <w:rPr>
          <w:rFonts w:ascii="宋体"/>
        </w:rPr>
      </w:pPr>
      <w:r>
        <w:rPr>
          <w:rFonts w:ascii="宋体" w:hAnsi="宋体"/>
        </w:rPr>
        <w:t xml:space="preserve">5.2.5  </w:t>
      </w:r>
      <w:r>
        <w:rPr>
          <w:rFonts w:hint="eastAsia" w:ascii="宋体" w:hAnsi="宋体"/>
        </w:rPr>
        <w:t>承包人要求更改交货日期或地点的，应事先报请监理人批准。由于承包人要求更改交货时间或地点所增加的费用和（或）工期延误由承包人承担。</w:t>
      </w:r>
      <w:r>
        <w:rPr>
          <w:rFonts w:ascii="宋体" w:hAnsi="宋体"/>
        </w:rPr>
        <w:t xml:space="preserve"> </w:t>
      </w:r>
    </w:p>
    <w:p>
      <w:pPr>
        <w:spacing w:line="360" w:lineRule="auto"/>
        <w:ind w:firstLine="420" w:firstLineChars="200"/>
        <w:rPr>
          <w:rFonts w:ascii="宋体"/>
        </w:rPr>
      </w:pPr>
      <w:r>
        <w:rPr>
          <w:rFonts w:ascii="宋体" w:hAnsi="宋体"/>
        </w:rPr>
        <w:t xml:space="preserve">5.2.6  </w:t>
      </w:r>
      <w:r>
        <w:rPr>
          <w:rFonts w:hint="eastAsia" w:ascii="宋体" w:hAnsi="宋体"/>
        </w:rPr>
        <w:t>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155"/>
        <w:spacing w:before="120" w:after="120"/>
      </w:pPr>
      <w:bookmarkStart w:id="2014" w:name="_Toc144974622"/>
      <w:bookmarkStart w:id="2015" w:name="_Toc338944747"/>
      <w:bookmarkStart w:id="2016" w:name="_Toc480486773"/>
      <w:bookmarkStart w:id="2017" w:name="_Toc490222536"/>
      <w:bookmarkStart w:id="2018" w:name="_Toc152042432"/>
      <w:bookmarkStart w:id="2019" w:name="_Toc483668120"/>
      <w:bookmarkStart w:id="2020" w:name="_Toc342296305"/>
      <w:bookmarkStart w:id="2021" w:name="_Toc152045654"/>
      <w:bookmarkStart w:id="2022" w:name="_Toc117350455"/>
      <w:bookmarkStart w:id="2023" w:name="_Toc486580091"/>
      <w:bookmarkStart w:id="2024" w:name="_Toc480486945"/>
      <w:bookmarkStart w:id="2025" w:name="_Toc179632672"/>
      <w:bookmarkStart w:id="2026" w:name="_Toc489279902"/>
      <w:r>
        <w:t xml:space="preserve">5.3  </w:t>
      </w:r>
      <w:r>
        <w:rPr>
          <w:rFonts w:hint="eastAsia"/>
        </w:rPr>
        <w:t>材料和工程设备专用于合同工程</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pPr>
        <w:spacing w:line="360" w:lineRule="auto"/>
        <w:ind w:firstLine="420" w:firstLineChars="200"/>
        <w:rPr>
          <w:rFonts w:ascii="宋体"/>
        </w:rPr>
      </w:pPr>
      <w:r>
        <w:rPr>
          <w:rFonts w:ascii="宋体" w:hAnsi="宋体"/>
        </w:rPr>
        <w:t xml:space="preserve">5.3.1  </w:t>
      </w:r>
      <w:r>
        <w:rPr>
          <w:rFonts w:hint="eastAsia" w:ascii="宋体" w:hAnsi="宋体"/>
        </w:rPr>
        <w:t>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rFonts w:ascii="宋体"/>
        </w:rPr>
      </w:pPr>
      <w:r>
        <w:rPr>
          <w:rFonts w:ascii="宋体" w:hAnsi="宋体"/>
        </w:rPr>
        <w:t xml:space="preserve">5.3.2  </w:t>
      </w:r>
      <w:r>
        <w:rPr>
          <w:rFonts w:hint="eastAsia" w:ascii="宋体" w:hAnsi="宋体"/>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155"/>
        <w:spacing w:before="120" w:after="120"/>
      </w:pPr>
      <w:bookmarkStart w:id="2027" w:name="_Toc338944748"/>
      <w:bookmarkStart w:id="2028" w:name="_Toc486580092"/>
      <w:bookmarkStart w:id="2029" w:name="_Toc342296306"/>
      <w:bookmarkStart w:id="2030" w:name="_Toc179632673"/>
      <w:bookmarkStart w:id="2031" w:name="_Toc480486946"/>
      <w:bookmarkStart w:id="2032" w:name="_Toc480486774"/>
      <w:bookmarkStart w:id="2033" w:name="_Toc152045655"/>
      <w:bookmarkStart w:id="2034" w:name="_Toc144974623"/>
      <w:bookmarkStart w:id="2035" w:name="_Toc152042433"/>
      <w:bookmarkStart w:id="2036" w:name="_Toc489279903"/>
      <w:bookmarkStart w:id="2037" w:name="_Toc490222537"/>
      <w:bookmarkStart w:id="2038" w:name="_Toc483668121"/>
      <w:bookmarkStart w:id="2039" w:name="_Toc117350456"/>
      <w:r>
        <w:t xml:space="preserve">5.4  </w:t>
      </w:r>
      <w:r>
        <w:rPr>
          <w:rFonts w:hint="eastAsia"/>
        </w:rPr>
        <w:t>禁止使用不合格的材料和工程设备</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pPr>
        <w:spacing w:line="360" w:lineRule="auto"/>
        <w:ind w:firstLine="420" w:firstLineChars="200"/>
        <w:rPr>
          <w:rFonts w:ascii="宋体"/>
        </w:rPr>
      </w:pPr>
      <w:r>
        <w:rPr>
          <w:rFonts w:ascii="宋体" w:hAnsi="宋体"/>
        </w:rPr>
        <w:t xml:space="preserve">5.4.1  </w:t>
      </w:r>
      <w:r>
        <w:rPr>
          <w:rFonts w:hint="eastAsia" w:ascii="宋体" w:hAnsi="宋体"/>
        </w:rPr>
        <w:t>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rFonts w:ascii="宋体"/>
        </w:rPr>
      </w:pPr>
      <w:r>
        <w:rPr>
          <w:rFonts w:ascii="宋体" w:hAnsi="宋体"/>
        </w:rPr>
        <w:t xml:space="preserve">5.4.2  </w:t>
      </w:r>
      <w:r>
        <w:rPr>
          <w:rFonts w:hint="eastAsia" w:ascii="宋体" w:hAnsi="宋体"/>
        </w:rPr>
        <w:t>监理人发现承包人使用了不合格的材料和工程设备，应即时发出指示要求承包人立即改正，并禁止在工程中继续使用不合格的材料和工程设备。</w:t>
      </w:r>
    </w:p>
    <w:p>
      <w:pPr>
        <w:spacing w:line="360" w:lineRule="auto"/>
        <w:ind w:firstLine="420" w:firstLineChars="200"/>
        <w:rPr>
          <w:rFonts w:ascii="宋体"/>
        </w:rPr>
      </w:pPr>
      <w:r>
        <w:rPr>
          <w:rFonts w:ascii="宋体" w:hAnsi="宋体"/>
        </w:rPr>
        <w:t xml:space="preserve">5.4.3  </w:t>
      </w:r>
      <w:r>
        <w:rPr>
          <w:rFonts w:hint="eastAsia" w:ascii="宋体" w:hAnsi="宋体"/>
        </w:rPr>
        <w:t>发包人提供的材料或工程设备不符合合同要求的，承包人有权拒绝，并可要求发包人更换，由此增加的费用和（或）工期延误由发包人承担。</w:t>
      </w:r>
    </w:p>
    <w:p>
      <w:pPr>
        <w:pStyle w:val="144"/>
        <w:spacing w:before="120" w:after="120"/>
      </w:pPr>
      <w:bookmarkStart w:id="2040" w:name="_Toc489279904"/>
      <w:bookmarkStart w:id="2041" w:name="_Toc117350457"/>
      <w:bookmarkStart w:id="2042" w:name="_Toc486580093"/>
      <w:bookmarkStart w:id="2043" w:name="_Toc338944749"/>
      <w:bookmarkStart w:id="2044" w:name="_Toc342296307"/>
      <w:bookmarkStart w:id="2045" w:name="_Toc483668122"/>
      <w:bookmarkStart w:id="2046" w:name="_Toc480486947"/>
      <w:bookmarkStart w:id="2047" w:name="_Toc490222538"/>
      <w:bookmarkStart w:id="2048" w:name="_Toc480486775"/>
      <w:r>
        <w:t>6.</w:t>
      </w:r>
      <w:r>
        <w:rPr>
          <w:rFonts w:hint="eastAsia"/>
        </w:rPr>
        <w:t>施工设备和临时设施</w:t>
      </w:r>
      <w:bookmarkEnd w:id="2040"/>
      <w:bookmarkEnd w:id="2041"/>
      <w:bookmarkEnd w:id="2042"/>
      <w:bookmarkEnd w:id="2043"/>
      <w:bookmarkEnd w:id="2044"/>
      <w:bookmarkEnd w:id="2045"/>
      <w:bookmarkEnd w:id="2046"/>
      <w:bookmarkEnd w:id="2047"/>
      <w:bookmarkEnd w:id="2048"/>
    </w:p>
    <w:p>
      <w:pPr>
        <w:pStyle w:val="155"/>
        <w:spacing w:before="120" w:after="120"/>
      </w:pPr>
      <w:bookmarkStart w:id="2049" w:name="_Toc480486948"/>
      <w:bookmarkStart w:id="2050" w:name="_Toc490222539"/>
      <w:bookmarkStart w:id="2051" w:name="_Toc117350458"/>
      <w:bookmarkStart w:id="2052" w:name="_Toc489279905"/>
      <w:bookmarkStart w:id="2053" w:name="_Toc338944750"/>
      <w:bookmarkStart w:id="2054" w:name="_Toc486580094"/>
      <w:bookmarkStart w:id="2055" w:name="_Toc480486776"/>
      <w:bookmarkStart w:id="2056" w:name="_Toc342296308"/>
      <w:bookmarkStart w:id="2057" w:name="_Toc483668123"/>
      <w:r>
        <w:t xml:space="preserve">6.1  </w:t>
      </w:r>
      <w:r>
        <w:rPr>
          <w:rFonts w:hint="eastAsia"/>
        </w:rPr>
        <w:t>承包人提供的施工设备和临时设施</w:t>
      </w:r>
      <w:bookmarkEnd w:id="2049"/>
      <w:bookmarkEnd w:id="2050"/>
      <w:bookmarkEnd w:id="2051"/>
      <w:bookmarkEnd w:id="2052"/>
      <w:bookmarkEnd w:id="2053"/>
      <w:bookmarkEnd w:id="2054"/>
      <w:bookmarkEnd w:id="2055"/>
      <w:bookmarkEnd w:id="2056"/>
      <w:bookmarkEnd w:id="2057"/>
    </w:p>
    <w:p>
      <w:pPr>
        <w:spacing w:line="360" w:lineRule="auto"/>
        <w:ind w:firstLine="420" w:firstLineChars="200"/>
        <w:rPr>
          <w:rFonts w:ascii="宋体"/>
        </w:rPr>
      </w:pPr>
      <w:r>
        <w:rPr>
          <w:rFonts w:ascii="宋体" w:hAnsi="宋体"/>
        </w:rPr>
        <w:t xml:space="preserve">6.1.1  </w:t>
      </w:r>
      <w:r>
        <w:rPr>
          <w:rFonts w:hint="eastAsia" w:ascii="宋体" w:hAnsi="宋体"/>
        </w:rPr>
        <w:t>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rFonts w:ascii="宋体"/>
        </w:rPr>
      </w:pPr>
      <w:r>
        <w:rPr>
          <w:rFonts w:ascii="宋体" w:hAnsi="宋体"/>
        </w:rPr>
        <w:t xml:space="preserve">6.1.2  </w:t>
      </w:r>
      <w:r>
        <w:rPr>
          <w:rFonts w:hint="eastAsia" w:ascii="宋体" w:hAnsi="宋体"/>
        </w:rPr>
        <w:t>除合同另有约定外，承包人应承担自行修建临时设施的费用。需要临时占地的，应由发包人办理申请手续并承担相应费用。承包人自行修建临时设施的范围以及所需临时占地</w:t>
      </w:r>
      <w:r>
        <w:rPr>
          <w:rFonts w:hint="eastAsia" w:ascii="黑体" w:hAnsi="黑体" w:eastAsia="黑体"/>
        </w:rPr>
        <w:t>见合同条款专用部分。</w:t>
      </w:r>
    </w:p>
    <w:p>
      <w:pPr>
        <w:pStyle w:val="155"/>
        <w:spacing w:before="120" w:after="120"/>
      </w:pPr>
      <w:bookmarkStart w:id="2058" w:name="_Toc480486777"/>
      <w:bookmarkStart w:id="2059" w:name="_Toc489279906"/>
      <w:bookmarkStart w:id="2060" w:name="_Toc490222540"/>
      <w:bookmarkStart w:id="2061" w:name="_Toc486580095"/>
      <w:bookmarkStart w:id="2062" w:name="_Toc342296309"/>
      <w:bookmarkStart w:id="2063" w:name="_Toc117350459"/>
      <w:bookmarkStart w:id="2064" w:name="_Toc338944751"/>
      <w:bookmarkStart w:id="2065" w:name="_Toc480486949"/>
      <w:bookmarkStart w:id="2066" w:name="_Toc483668124"/>
      <w:r>
        <w:t xml:space="preserve">6.2  </w:t>
      </w:r>
      <w:r>
        <w:rPr>
          <w:rFonts w:hint="eastAsia"/>
        </w:rPr>
        <w:t>发包人提供的施工设备和临时设施</w:t>
      </w:r>
      <w:bookmarkEnd w:id="2058"/>
      <w:bookmarkEnd w:id="2059"/>
      <w:bookmarkEnd w:id="2060"/>
      <w:bookmarkEnd w:id="2061"/>
      <w:bookmarkEnd w:id="2062"/>
      <w:bookmarkEnd w:id="2063"/>
      <w:bookmarkEnd w:id="2064"/>
      <w:bookmarkEnd w:id="2065"/>
      <w:bookmarkEnd w:id="2066"/>
    </w:p>
    <w:p>
      <w:pPr>
        <w:spacing w:line="360" w:lineRule="auto"/>
        <w:ind w:firstLine="420" w:firstLineChars="200"/>
        <w:rPr>
          <w:rFonts w:ascii="宋体"/>
        </w:rPr>
      </w:pPr>
      <w:r>
        <w:rPr>
          <w:rFonts w:hint="eastAsia" w:ascii="宋体" w:hAnsi="宋体"/>
        </w:rPr>
        <w:t>发包人提供的施工设备或临时设施，以及相关</w:t>
      </w:r>
      <w:r>
        <w:rPr>
          <w:rFonts w:hint="eastAsia" w:ascii="宋体" w:hAnsi="宋体"/>
          <w:szCs w:val="21"/>
        </w:rPr>
        <w:t>运行、维护、拆除、清运费用的承担人</w:t>
      </w:r>
      <w:r>
        <w:rPr>
          <w:rFonts w:hint="eastAsia" w:ascii="黑体" w:hAnsi="黑体" w:eastAsia="黑体"/>
          <w:szCs w:val="21"/>
        </w:rPr>
        <w:t>见</w:t>
      </w:r>
      <w:r>
        <w:rPr>
          <w:rFonts w:hint="eastAsia" w:ascii="黑体" w:hAnsi="黑体" w:eastAsia="黑体"/>
        </w:rPr>
        <w:t>合同条款专用部分。</w:t>
      </w:r>
    </w:p>
    <w:p>
      <w:pPr>
        <w:pStyle w:val="155"/>
        <w:spacing w:before="120" w:after="120"/>
      </w:pPr>
      <w:bookmarkStart w:id="2067" w:name="_Toc490222541"/>
      <w:bookmarkStart w:id="2068" w:name="_Toc179632677"/>
      <w:bookmarkStart w:id="2069" w:name="_Toc489279907"/>
      <w:bookmarkStart w:id="2070" w:name="_Toc483668125"/>
      <w:bookmarkStart w:id="2071" w:name="_Toc480486778"/>
      <w:bookmarkStart w:id="2072" w:name="_Toc117350460"/>
      <w:bookmarkStart w:id="2073" w:name="_Toc338944752"/>
      <w:bookmarkStart w:id="2074" w:name="_Toc480486950"/>
      <w:bookmarkStart w:id="2075" w:name="_Toc486580096"/>
      <w:bookmarkStart w:id="2076" w:name="_Toc152042437"/>
      <w:bookmarkStart w:id="2077" w:name="_Toc342296310"/>
      <w:bookmarkStart w:id="2078" w:name="_Toc144974627"/>
      <w:bookmarkStart w:id="2079" w:name="_Toc152045659"/>
      <w:r>
        <w:t xml:space="preserve">6.3  </w:t>
      </w:r>
      <w:r>
        <w:rPr>
          <w:rFonts w:hint="eastAsia"/>
        </w:rPr>
        <w:t>要求承包人增加或更换施工设备</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pPr>
        <w:spacing w:line="360" w:lineRule="auto"/>
        <w:ind w:firstLine="420" w:firstLineChars="200"/>
        <w:rPr>
          <w:rFonts w:ascii="宋体"/>
        </w:rPr>
      </w:pPr>
      <w:r>
        <w:rPr>
          <w:rFonts w:hint="eastAsia" w:ascii="宋体" w:hAnsi="宋体"/>
        </w:rPr>
        <w:t>承包人使用的施工设备不能满足合同进度计划和（或）质量要求时，监理人有权要求承包人增加或更换施工设备，承包人应及时增加或更换，由此增加的费用和（或）工期延误由承包人承担。</w:t>
      </w:r>
    </w:p>
    <w:p>
      <w:pPr>
        <w:pStyle w:val="155"/>
        <w:spacing w:before="120" w:after="120"/>
      </w:pPr>
      <w:bookmarkStart w:id="2080" w:name="_Toc338944753"/>
      <w:bookmarkStart w:id="2081" w:name="_Toc489279908"/>
      <w:bookmarkStart w:id="2082" w:name="_Toc117350461"/>
      <w:bookmarkStart w:id="2083" w:name="_Toc483668126"/>
      <w:bookmarkStart w:id="2084" w:name="_Toc480486951"/>
      <w:bookmarkStart w:id="2085" w:name="_Toc486580097"/>
      <w:bookmarkStart w:id="2086" w:name="_Toc490222542"/>
      <w:bookmarkStart w:id="2087" w:name="_Toc480486779"/>
      <w:bookmarkStart w:id="2088" w:name="_Toc342296311"/>
      <w:r>
        <w:t xml:space="preserve">6.4  </w:t>
      </w:r>
      <w:r>
        <w:rPr>
          <w:rFonts w:hint="eastAsia"/>
        </w:rPr>
        <w:t>施工设备和临时设施专用于合同工程</w:t>
      </w:r>
      <w:bookmarkEnd w:id="2080"/>
      <w:bookmarkEnd w:id="2081"/>
      <w:bookmarkEnd w:id="2082"/>
      <w:bookmarkEnd w:id="2083"/>
      <w:bookmarkEnd w:id="2084"/>
      <w:bookmarkEnd w:id="2085"/>
      <w:bookmarkEnd w:id="2086"/>
      <w:bookmarkEnd w:id="2087"/>
      <w:bookmarkEnd w:id="2088"/>
    </w:p>
    <w:p>
      <w:pPr>
        <w:spacing w:line="360" w:lineRule="auto"/>
        <w:ind w:firstLine="420" w:firstLineChars="200"/>
        <w:rPr>
          <w:rFonts w:ascii="宋体"/>
        </w:rPr>
      </w:pPr>
      <w:r>
        <w:rPr>
          <w:rFonts w:ascii="宋体" w:hAnsi="宋体"/>
        </w:rPr>
        <w:t xml:space="preserve">6.4.1  </w:t>
      </w:r>
      <w:r>
        <w:rPr>
          <w:rFonts w:hint="eastAsia" w:ascii="宋体" w:hAnsi="宋体"/>
          <w:szCs w:val="21"/>
        </w:rPr>
        <w:t>除为第</w:t>
      </w:r>
      <w:r>
        <w:rPr>
          <w:rFonts w:ascii="宋体" w:hAnsi="宋体"/>
          <w:szCs w:val="21"/>
        </w:rPr>
        <w:t>4.1.8</w:t>
      </w:r>
      <w:r>
        <w:rPr>
          <w:rFonts w:hint="eastAsia" w:ascii="宋体" w:hAnsi="宋体"/>
          <w:szCs w:val="21"/>
        </w:rPr>
        <w:t>项约定的其他独立承包人和监理人指示的他人提供条件外</w:t>
      </w:r>
      <w:r>
        <w:rPr>
          <w:rFonts w:ascii="宋体"/>
          <w:szCs w:val="21"/>
        </w:rPr>
        <w:t>,</w:t>
      </w:r>
      <w:r>
        <w:rPr>
          <w:rFonts w:hint="eastAsia" w:ascii="宋体" w:hAnsi="宋体"/>
          <w:szCs w:val="21"/>
        </w:rPr>
        <w:t>承包人运入施工场地的所有施工设备以及在施工场地建设的临时设施仅限于用于合同工程。</w:t>
      </w:r>
      <w:r>
        <w:rPr>
          <w:rFonts w:hint="eastAsia" w:ascii="宋体" w:hAnsi="宋体"/>
        </w:rPr>
        <w:t>未经监理人同意，不得将上述施工设备和临时设施中的任何部分运出施工场地或挪作他用。</w:t>
      </w:r>
    </w:p>
    <w:p>
      <w:pPr>
        <w:spacing w:line="360" w:lineRule="auto"/>
        <w:ind w:firstLine="420" w:firstLineChars="200"/>
        <w:rPr>
          <w:rFonts w:ascii="宋体"/>
        </w:rPr>
      </w:pPr>
      <w:r>
        <w:rPr>
          <w:rFonts w:ascii="宋体" w:hAnsi="宋体"/>
        </w:rPr>
        <w:t xml:space="preserve">6.4.2  </w:t>
      </w:r>
      <w:r>
        <w:rPr>
          <w:rFonts w:hint="eastAsia" w:ascii="宋体" w:hAnsi="宋体"/>
        </w:rPr>
        <w:t>经监理人同意，承包人可根据合同进度计划撤走闲置的施工设备。</w:t>
      </w:r>
    </w:p>
    <w:p>
      <w:pPr>
        <w:pStyle w:val="144"/>
        <w:spacing w:before="120" w:after="120"/>
      </w:pPr>
      <w:bookmarkStart w:id="2089" w:name="_Toc489279909"/>
      <w:bookmarkStart w:id="2090" w:name="_Toc486580098"/>
      <w:bookmarkStart w:id="2091" w:name="_Toc480486780"/>
      <w:bookmarkStart w:id="2092" w:name="_Toc480486952"/>
      <w:bookmarkStart w:id="2093" w:name="_Toc338944754"/>
      <w:bookmarkStart w:id="2094" w:name="_Toc117350462"/>
      <w:bookmarkStart w:id="2095" w:name="_Toc483668127"/>
      <w:bookmarkStart w:id="2096" w:name="_Toc490222543"/>
      <w:bookmarkStart w:id="2097" w:name="_Toc342296312"/>
      <w:r>
        <w:t>7.</w:t>
      </w:r>
      <w:r>
        <w:rPr>
          <w:rFonts w:hint="eastAsia"/>
        </w:rPr>
        <w:t>交通运输</w:t>
      </w:r>
      <w:bookmarkEnd w:id="2089"/>
      <w:bookmarkEnd w:id="2090"/>
      <w:bookmarkEnd w:id="2091"/>
      <w:bookmarkEnd w:id="2092"/>
      <w:bookmarkEnd w:id="2093"/>
      <w:bookmarkEnd w:id="2094"/>
      <w:bookmarkEnd w:id="2095"/>
      <w:bookmarkEnd w:id="2096"/>
      <w:bookmarkEnd w:id="2097"/>
    </w:p>
    <w:p>
      <w:pPr>
        <w:pStyle w:val="155"/>
        <w:spacing w:before="120" w:after="120"/>
      </w:pPr>
      <w:bookmarkStart w:id="2098" w:name="_Toc342296313"/>
      <w:bookmarkStart w:id="2099" w:name="_Toc480486953"/>
      <w:bookmarkStart w:id="2100" w:name="_Toc338944755"/>
      <w:bookmarkStart w:id="2101" w:name="_Toc483668128"/>
      <w:bookmarkStart w:id="2102" w:name="_Toc480486781"/>
      <w:bookmarkStart w:id="2103" w:name="_Toc117350463"/>
      <w:bookmarkStart w:id="2104" w:name="_Toc490222544"/>
      <w:bookmarkStart w:id="2105" w:name="_Toc486580099"/>
      <w:bookmarkStart w:id="2106" w:name="_Toc489279910"/>
      <w:r>
        <w:t xml:space="preserve">7.1  </w:t>
      </w:r>
      <w:r>
        <w:rPr>
          <w:rFonts w:hint="eastAsia"/>
        </w:rPr>
        <w:t>道路通行权和场外设施</w:t>
      </w:r>
      <w:bookmarkEnd w:id="2098"/>
      <w:bookmarkEnd w:id="2099"/>
      <w:bookmarkEnd w:id="2100"/>
      <w:bookmarkEnd w:id="2101"/>
      <w:bookmarkEnd w:id="2102"/>
      <w:bookmarkEnd w:id="2103"/>
      <w:bookmarkEnd w:id="2104"/>
      <w:bookmarkEnd w:id="2105"/>
      <w:bookmarkEnd w:id="2106"/>
    </w:p>
    <w:p>
      <w:pPr>
        <w:spacing w:line="360" w:lineRule="auto"/>
        <w:ind w:firstLine="420" w:firstLineChars="200"/>
        <w:rPr>
          <w:rFonts w:ascii="宋体"/>
        </w:rPr>
      </w:pPr>
      <w:r>
        <w:rPr>
          <w:rFonts w:hint="eastAsia" w:ascii="宋体" w:hAnsi="宋体"/>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pPr>
        <w:pStyle w:val="155"/>
        <w:spacing w:before="120" w:after="120"/>
      </w:pPr>
      <w:bookmarkStart w:id="2107" w:name="_Toc342296314"/>
      <w:bookmarkStart w:id="2108" w:name="_Toc490222545"/>
      <w:bookmarkStart w:id="2109" w:name="_Toc117350464"/>
      <w:bookmarkStart w:id="2110" w:name="_Toc480486954"/>
      <w:bookmarkStart w:id="2111" w:name="_Toc338944756"/>
      <w:bookmarkStart w:id="2112" w:name="_Toc486580100"/>
      <w:bookmarkStart w:id="2113" w:name="_Toc480486782"/>
      <w:bookmarkStart w:id="2114" w:name="_Toc483668129"/>
      <w:bookmarkStart w:id="2115" w:name="_Toc489279911"/>
      <w:r>
        <w:t xml:space="preserve">7.2  </w:t>
      </w:r>
      <w:r>
        <w:rPr>
          <w:rFonts w:hint="eastAsia"/>
        </w:rPr>
        <w:t>场内施工道路</w:t>
      </w:r>
      <w:bookmarkEnd w:id="2107"/>
      <w:bookmarkEnd w:id="2108"/>
      <w:bookmarkEnd w:id="2109"/>
      <w:bookmarkEnd w:id="2110"/>
      <w:bookmarkEnd w:id="2111"/>
      <w:bookmarkEnd w:id="2112"/>
      <w:bookmarkEnd w:id="2113"/>
      <w:bookmarkEnd w:id="2114"/>
      <w:bookmarkEnd w:id="2115"/>
    </w:p>
    <w:p>
      <w:pPr>
        <w:spacing w:line="360" w:lineRule="auto"/>
        <w:ind w:firstLine="420" w:firstLineChars="200"/>
        <w:rPr>
          <w:rFonts w:ascii="宋体"/>
        </w:rPr>
      </w:pPr>
      <w:r>
        <w:rPr>
          <w:rFonts w:ascii="宋体" w:hAnsi="宋体"/>
        </w:rPr>
        <w:t xml:space="preserve">7.2.1  </w:t>
      </w:r>
      <w:r>
        <w:rPr>
          <w:rFonts w:hint="eastAsia" w:ascii="宋体" w:hAnsi="宋体"/>
        </w:rPr>
        <w:t>除合同条款专用部分另有约定外，承包人应负责修建、维修、养护和管理施工所需的临时道路和交通设施，包括维修、养护和管理发包人提供的道路和交通设施，并承担相应费用。</w:t>
      </w:r>
    </w:p>
    <w:p>
      <w:pPr>
        <w:spacing w:line="360" w:lineRule="auto"/>
        <w:ind w:firstLine="420" w:firstLineChars="200"/>
        <w:rPr>
          <w:rFonts w:ascii="宋体"/>
        </w:rPr>
      </w:pPr>
      <w:r>
        <w:rPr>
          <w:rFonts w:ascii="宋体" w:hAnsi="宋体"/>
        </w:rPr>
        <w:t xml:space="preserve">7.2.2  </w:t>
      </w:r>
      <w:r>
        <w:rPr>
          <w:rFonts w:hint="eastAsia" w:ascii="宋体" w:hAnsi="宋体"/>
          <w:szCs w:val="21"/>
        </w:rPr>
        <w:t>发包人和监理人有权无偿使用承包人修建的临时道路和交通设施，不需要交纳任何费用。</w:t>
      </w:r>
    </w:p>
    <w:p>
      <w:pPr>
        <w:pStyle w:val="155"/>
        <w:spacing w:before="120" w:after="120"/>
      </w:pPr>
      <w:bookmarkStart w:id="2116" w:name="_Toc338944757"/>
      <w:bookmarkStart w:id="2117" w:name="_Toc144974632"/>
      <w:bookmarkStart w:id="2118" w:name="_Toc179632682"/>
      <w:bookmarkStart w:id="2119" w:name="_Toc480486783"/>
      <w:bookmarkStart w:id="2120" w:name="_Toc152042442"/>
      <w:bookmarkStart w:id="2121" w:name="_Toc483668130"/>
      <w:bookmarkStart w:id="2122" w:name="_Toc489279912"/>
      <w:bookmarkStart w:id="2123" w:name="_Toc152045664"/>
      <w:bookmarkStart w:id="2124" w:name="_Toc117350465"/>
      <w:bookmarkStart w:id="2125" w:name="_Toc480486955"/>
      <w:bookmarkStart w:id="2126" w:name="_Toc342296315"/>
      <w:bookmarkStart w:id="2127" w:name="_Toc490222546"/>
      <w:bookmarkStart w:id="2128" w:name="_Toc486580101"/>
      <w:r>
        <w:t xml:space="preserve">7.3  </w:t>
      </w:r>
      <w:r>
        <w:rPr>
          <w:rFonts w:hint="eastAsia"/>
        </w:rPr>
        <w:t>场外交通</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pPr>
        <w:spacing w:line="360" w:lineRule="auto"/>
        <w:ind w:firstLine="420" w:firstLineChars="200"/>
        <w:rPr>
          <w:rFonts w:ascii="宋体"/>
        </w:rPr>
      </w:pPr>
      <w:r>
        <w:rPr>
          <w:rFonts w:ascii="宋体" w:hAnsi="宋体"/>
        </w:rPr>
        <w:t xml:space="preserve">7.3.1  </w:t>
      </w:r>
      <w:r>
        <w:rPr>
          <w:rFonts w:hint="eastAsia" w:ascii="宋体" w:hAnsi="宋体"/>
        </w:rPr>
        <w:t>承包人车辆外出行驶所需的场外公共道路的通行费、养路费和税款等由承包人承担。</w:t>
      </w:r>
    </w:p>
    <w:p>
      <w:pPr>
        <w:spacing w:line="360" w:lineRule="auto"/>
        <w:ind w:firstLine="420" w:firstLineChars="200"/>
        <w:rPr>
          <w:rFonts w:ascii="宋体"/>
        </w:rPr>
      </w:pPr>
      <w:r>
        <w:rPr>
          <w:rFonts w:ascii="宋体" w:hAnsi="宋体"/>
        </w:rPr>
        <w:t xml:space="preserve">7.3.2  </w:t>
      </w:r>
      <w:r>
        <w:rPr>
          <w:rFonts w:hint="eastAsia" w:ascii="宋体" w:hAnsi="宋体"/>
        </w:rPr>
        <w:t>承包人应遵守有关交通法规，严格按照道路和桥梁的限制荷重安全行驶，并服从交通管理部门的检查和监督。</w:t>
      </w:r>
    </w:p>
    <w:p>
      <w:pPr>
        <w:pStyle w:val="155"/>
        <w:spacing w:before="120" w:after="120"/>
      </w:pPr>
      <w:bookmarkStart w:id="2129" w:name="_Toc117350466"/>
      <w:bookmarkStart w:id="2130" w:name="_Toc486580102"/>
      <w:bookmarkStart w:id="2131" w:name="_Toc489279913"/>
      <w:bookmarkStart w:id="2132" w:name="_Toc490222547"/>
      <w:bookmarkStart w:id="2133" w:name="_Toc483668131"/>
      <w:bookmarkStart w:id="2134" w:name="_Toc342296316"/>
      <w:bookmarkStart w:id="2135" w:name="_Toc480486956"/>
      <w:bookmarkStart w:id="2136" w:name="_Toc338944758"/>
      <w:bookmarkStart w:id="2137" w:name="_Toc480486784"/>
      <w:r>
        <w:t xml:space="preserve">7.4  </w:t>
      </w:r>
      <w:r>
        <w:rPr>
          <w:rFonts w:hint="eastAsia"/>
        </w:rPr>
        <w:t>超大件和超重件的运输</w:t>
      </w:r>
      <w:bookmarkEnd w:id="2129"/>
      <w:bookmarkEnd w:id="2130"/>
      <w:bookmarkEnd w:id="2131"/>
      <w:bookmarkEnd w:id="2132"/>
      <w:bookmarkEnd w:id="2133"/>
      <w:bookmarkEnd w:id="2134"/>
      <w:bookmarkEnd w:id="2135"/>
      <w:bookmarkEnd w:id="2136"/>
      <w:bookmarkEnd w:id="2137"/>
    </w:p>
    <w:p>
      <w:pPr>
        <w:spacing w:line="360" w:lineRule="auto"/>
        <w:ind w:firstLine="420" w:firstLineChars="200"/>
        <w:rPr>
          <w:rFonts w:ascii="宋体"/>
        </w:rPr>
      </w:pPr>
      <w:r>
        <w:rPr>
          <w:rFonts w:hint="eastAsia" w:ascii="宋体" w:hAnsi="宋体"/>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pPr>
        <w:pStyle w:val="155"/>
        <w:spacing w:before="120" w:after="120"/>
      </w:pPr>
      <w:bookmarkStart w:id="2138" w:name="_Toc489279914"/>
      <w:bookmarkStart w:id="2139" w:name="_Toc486580103"/>
      <w:bookmarkStart w:id="2140" w:name="_Toc338944759"/>
      <w:bookmarkStart w:id="2141" w:name="_Toc483668132"/>
      <w:bookmarkStart w:id="2142" w:name="_Toc490222548"/>
      <w:bookmarkStart w:id="2143" w:name="_Toc480486785"/>
      <w:bookmarkStart w:id="2144" w:name="_Toc342296317"/>
      <w:bookmarkStart w:id="2145" w:name="_Toc117350467"/>
      <w:bookmarkStart w:id="2146" w:name="_Toc480486957"/>
      <w:r>
        <w:t xml:space="preserve">7.5  </w:t>
      </w:r>
      <w:r>
        <w:rPr>
          <w:rFonts w:hint="eastAsia"/>
        </w:rPr>
        <w:t>道路和桥梁的损坏责任</w:t>
      </w:r>
      <w:bookmarkEnd w:id="2138"/>
      <w:bookmarkEnd w:id="2139"/>
      <w:bookmarkEnd w:id="2140"/>
      <w:bookmarkEnd w:id="2141"/>
      <w:bookmarkEnd w:id="2142"/>
      <w:bookmarkEnd w:id="2143"/>
      <w:bookmarkEnd w:id="2144"/>
      <w:bookmarkEnd w:id="2145"/>
      <w:bookmarkEnd w:id="2146"/>
    </w:p>
    <w:p>
      <w:pPr>
        <w:spacing w:line="360" w:lineRule="auto"/>
        <w:ind w:firstLine="420" w:firstLineChars="200"/>
        <w:rPr>
          <w:rFonts w:ascii="宋体"/>
        </w:rPr>
      </w:pPr>
      <w:r>
        <w:rPr>
          <w:rFonts w:hint="eastAsia" w:ascii="宋体" w:hAnsi="宋体"/>
        </w:rPr>
        <w:t>因承包人运输造成施工场地内外公共道路和桥梁损坏的，由承包人承担修复损坏的全部费用和可能引起的赔偿。</w:t>
      </w:r>
    </w:p>
    <w:p>
      <w:pPr>
        <w:pStyle w:val="155"/>
        <w:spacing w:before="120" w:after="120"/>
      </w:pPr>
      <w:bookmarkStart w:id="2147" w:name="_Toc489279915"/>
      <w:bookmarkStart w:id="2148" w:name="_Toc338944760"/>
      <w:bookmarkStart w:id="2149" w:name="_Toc480486786"/>
      <w:bookmarkStart w:id="2150" w:name="_Toc486580104"/>
      <w:bookmarkStart w:id="2151" w:name="_Toc480486958"/>
      <w:bookmarkStart w:id="2152" w:name="_Toc152042445"/>
      <w:bookmarkStart w:id="2153" w:name="_Toc144974635"/>
      <w:bookmarkStart w:id="2154" w:name="_Toc490222549"/>
      <w:bookmarkStart w:id="2155" w:name="_Toc179632685"/>
      <w:bookmarkStart w:id="2156" w:name="_Toc117350468"/>
      <w:bookmarkStart w:id="2157" w:name="_Toc342296318"/>
      <w:bookmarkStart w:id="2158" w:name="_Toc152045667"/>
      <w:bookmarkStart w:id="2159" w:name="_Toc483668133"/>
      <w:r>
        <w:t xml:space="preserve">7.6  </w:t>
      </w:r>
      <w:r>
        <w:rPr>
          <w:rFonts w:hint="eastAsia"/>
        </w:rPr>
        <w:t>水路和航空运输</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pPr>
        <w:spacing w:line="360" w:lineRule="auto"/>
        <w:ind w:firstLine="420" w:firstLineChars="200"/>
        <w:rPr>
          <w:rFonts w:ascii="宋体"/>
        </w:rPr>
      </w:pPr>
      <w:r>
        <w:rPr>
          <w:rFonts w:hint="eastAsia" w:ascii="宋体" w:hAnsi="宋体"/>
        </w:rPr>
        <w:t>本条上述各款的内容适用于水路运输和航空运输，其中“道路”一词的涵义包括河道、航线、船闸、机场、码头、堤防以及水路或航空运输中其他相似结构物；“车辆”一词的涵义包括船舶和飞机等。</w:t>
      </w:r>
    </w:p>
    <w:p>
      <w:pPr>
        <w:pStyle w:val="144"/>
        <w:spacing w:before="120" w:after="120"/>
      </w:pPr>
      <w:bookmarkStart w:id="2160" w:name="_Toc117350469"/>
      <w:bookmarkStart w:id="2161" w:name="_Toc480486959"/>
      <w:bookmarkStart w:id="2162" w:name="_Toc480486787"/>
      <w:bookmarkStart w:id="2163" w:name="_Toc490222550"/>
      <w:bookmarkStart w:id="2164" w:name="_Toc489279916"/>
      <w:bookmarkStart w:id="2165" w:name="_Toc342296319"/>
      <w:bookmarkStart w:id="2166" w:name="_Toc338944761"/>
      <w:bookmarkStart w:id="2167" w:name="_Toc483668134"/>
      <w:bookmarkStart w:id="2168" w:name="_Toc486580105"/>
      <w:r>
        <w:t>8.</w:t>
      </w:r>
      <w:r>
        <w:rPr>
          <w:rFonts w:hint="eastAsia"/>
        </w:rPr>
        <w:t>测量放线</w:t>
      </w:r>
      <w:bookmarkEnd w:id="2160"/>
      <w:bookmarkEnd w:id="2161"/>
      <w:bookmarkEnd w:id="2162"/>
      <w:bookmarkEnd w:id="2163"/>
      <w:bookmarkEnd w:id="2164"/>
      <w:bookmarkEnd w:id="2165"/>
      <w:bookmarkEnd w:id="2166"/>
      <w:bookmarkEnd w:id="2167"/>
      <w:bookmarkEnd w:id="2168"/>
    </w:p>
    <w:p>
      <w:pPr>
        <w:pStyle w:val="155"/>
        <w:spacing w:before="120" w:after="120"/>
      </w:pPr>
      <w:bookmarkStart w:id="2169" w:name="_Toc490222551"/>
      <w:bookmarkStart w:id="2170" w:name="_Toc342296320"/>
      <w:bookmarkStart w:id="2171" w:name="_Toc483668135"/>
      <w:bookmarkStart w:id="2172" w:name="_Toc486580106"/>
      <w:bookmarkStart w:id="2173" w:name="_Toc117350470"/>
      <w:bookmarkStart w:id="2174" w:name="_Toc489279917"/>
      <w:bookmarkStart w:id="2175" w:name="_Toc480486960"/>
      <w:bookmarkStart w:id="2176" w:name="_Toc480486788"/>
      <w:bookmarkStart w:id="2177" w:name="_Toc338944762"/>
      <w:r>
        <w:t xml:space="preserve">8.1  </w:t>
      </w:r>
      <w:r>
        <w:rPr>
          <w:rFonts w:hint="eastAsia"/>
        </w:rPr>
        <w:t>施工控制网</w:t>
      </w:r>
      <w:bookmarkEnd w:id="2169"/>
      <w:bookmarkEnd w:id="2170"/>
      <w:bookmarkEnd w:id="2171"/>
      <w:bookmarkEnd w:id="2172"/>
      <w:bookmarkEnd w:id="2173"/>
      <w:bookmarkEnd w:id="2174"/>
      <w:bookmarkEnd w:id="2175"/>
      <w:bookmarkEnd w:id="2176"/>
      <w:bookmarkEnd w:id="2177"/>
    </w:p>
    <w:p>
      <w:pPr>
        <w:spacing w:line="360" w:lineRule="auto"/>
        <w:ind w:firstLine="420" w:firstLineChars="200"/>
        <w:rPr>
          <w:rFonts w:ascii="宋体"/>
        </w:rPr>
      </w:pPr>
      <w:r>
        <w:rPr>
          <w:rFonts w:ascii="宋体" w:hAnsi="宋体"/>
        </w:rPr>
        <w:t xml:space="preserve">8.1.1  </w:t>
      </w:r>
      <w:r>
        <w:rPr>
          <w:rFonts w:hint="eastAsia" w:ascii="宋体" w:hAnsi="宋体"/>
        </w:rPr>
        <w:t>发包人应在合同约定的期限内，通过监理人向承包人提供测量基准点、基准线和水准点及其书面资料。向承包人提供测量基准点、基准线和水准点及其书面资料的期限</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8.1.2  </w:t>
      </w:r>
      <w:r>
        <w:rPr>
          <w:rFonts w:hint="eastAsia" w:ascii="宋体" w:hAnsi="宋体"/>
        </w:rPr>
        <w:t>承包人应根据国家测绘基准、测绘系统和工程测量技术规范，按上述基准点（线）以及合同工程精度要求，测设施工控制网，承包人测设施工控制网的其他要求</w:t>
      </w:r>
      <w:r>
        <w:rPr>
          <w:rFonts w:hint="eastAsia" w:ascii="黑体" w:hAnsi="黑体" w:eastAsia="黑体"/>
        </w:rPr>
        <w:t>见合同条款专用部分。</w:t>
      </w:r>
      <w:r>
        <w:rPr>
          <w:rFonts w:hint="eastAsia" w:ascii="宋体" w:hAnsi="宋体"/>
        </w:rPr>
        <w:t>并将施工控制网资料在约定期限内报送监理人审批，其报送监理人审批的期限</w:t>
      </w:r>
      <w:r>
        <w:rPr>
          <w:rFonts w:hint="eastAsia" w:ascii="黑体" w:hAnsi="黑体" w:eastAsia="黑体"/>
        </w:rPr>
        <w:t>见合同条款专用部分</w:t>
      </w:r>
      <w:r>
        <w:rPr>
          <w:rFonts w:hint="eastAsia" w:ascii="宋体" w:hAnsi="宋体"/>
        </w:rPr>
        <w:t>。</w:t>
      </w:r>
    </w:p>
    <w:p>
      <w:pPr>
        <w:spacing w:line="360" w:lineRule="auto"/>
        <w:ind w:firstLine="420" w:firstLineChars="200"/>
        <w:rPr>
          <w:rFonts w:ascii="宋体"/>
        </w:rPr>
      </w:pPr>
      <w:r>
        <w:rPr>
          <w:rFonts w:ascii="宋体" w:hAnsi="宋体"/>
        </w:rPr>
        <w:t xml:space="preserve">8.1.3  </w:t>
      </w:r>
      <w:r>
        <w:rPr>
          <w:rFonts w:hint="eastAsia" w:ascii="宋体" w:hAnsi="宋体"/>
        </w:rPr>
        <w:t>承包人应负责管理施工控制网点。施工控制网点丢失或损坏的，承包人应及时修复，并承担施工控制网点的管理与修复费用。工程竣工后将施工控制网点移交发包人。</w:t>
      </w:r>
    </w:p>
    <w:p>
      <w:pPr>
        <w:pStyle w:val="155"/>
        <w:spacing w:before="120" w:after="120"/>
      </w:pPr>
      <w:bookmarkStart w:id="2178" w:name="_Toc179632688"/>
      <w:bookmarkStart w:id="2179" w:name="_Toc342296321"/>
      <w:bookmarkStart w:id="2180" w:name="_Toc486580107"/>
      <w:bookmarkStart w:id="2181" w:name="_Toc152045670"/>
      <w:bookmarkStart w:id="2182" w:name="_Toc490222552"/>
      <w:bookmarkStart w:id="2183" w:name="_Toc144974638"/>
      <w:bookmarkStart w:id="2184" w:name="_Toc480486961"/>
      <w:bookmarkStart w:id="2185" w:name="_Toc483668136"/>
      <w:bookmarkStart w:id="2186" w:name="_Toc489279918"/>
      <w:bookmarkStart w:id="2187" w:name="_Toc152042448"/>
      <w:bookmarkStart w:id="2188" w:name="_Toc338944763"/>
      <w:bookmarkStart w:id="2189" w:name="_Toc480486789"/>
      <w:bookmarkStart w:id="2190" w:name="_Toc117350471"/>
      <w:r>
        <w:t xml:space="preserve">8.2  </w:t>
      </w:r>
      <w:r>
        <w:rPr>
          <w:rFonts w:hint="eastAsia"/>
        </w:rPr>
        <w:t>施工测量</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pPr>
        <w:spacing w:line="360" w:lineRule="auto"/>
        <w:ind w:firstLine="420" w:firstLineChars="200"/>
        <w:rPr>
          <w:rFonts w:ascii="宋体"/>
        </w:rPr>
      </w:pPr>
      <w:r>
        <w:rPr>
          <w:rFonts w:ascii="宋体" w:hAnsi="宋体"/>
        </w:rPr>
        <w:t xml:space="preserve">8.2.1  </w:t>
      </w:r>
      <w:r>
        <w:rPr>
          <w:rFonts w:hint="eastAsia" w:ascii="宋体" w:hAnsi="宋体"/>
        </w:rPr>
        <w:t>承包人应负责施工过程中的全部施工测量放线工作，并配置合格的人员、仪器、设备和其他物品。</w:t>
      </w:r>
    </w:p>
    <w:p>
      <w:pPr>
        <w:spacing w:line="360" w:lineRule="auto"/>
        <w:ind w:firstLine="420" w:firstLineChars="200"/>
        <w:rPr>
          <w:rFonts w:ascii="宋体"/>
        </w:rPr>
      </w:pPr>
      <w:r>
        <w:rPr>
          <w:rFonts w:ascii="宋体" w:hAnsi="宋体"/>
        </w:rPr>
        <w:t xml:space="preserve">8.2.2  </w:t>
      </w:r>
      <w:r>
        <w:rPr>
          <w:rFonts w:hint="eastAsia" w:ascii="宋体" w:hAnsi="宋体"/>
        </w:rPr>
        <w:t>监理人可以指示承包人进行抽样复测，当复测中发现错误或出现超过合同约定的误差时，承包人应按监理人指示进行修正或补测，并承担相应的复测费用。</w:t>
      </w:r>
    </w:p>
    <w:p>
      <w:pPr>
        <w:pStyle w:val="155"/>
        <w:spacing w:before="120" w:after="120"/>
      </w:pPr>
      <w:bookmarkStart w:id="2191" w:name="_Toc480486790"/>
      <w:bookmarkStart w:id="2192" w:name="_Toc152045671"/>
      <w:bookmarkStart w:id="2193" w:name="_Toc480486962"/>
      <w:bookmarkStart w:id="2194" w:name="_Toc152042449"/>
      <w:bookmarkStart w:id="2195" w:name="_Toc144974639"/>
      <w:bookmarkStart w:id="2196" w:name="_Toc179632689"/>
      <w:bookmarkStart w:id="2197" w:name="_Toc486580108"/>
      <w:bookmarkStart w:id="2198" w:name="_Toc489279919"/>
      <w:bookmarkStart w:id="2199" w:name="_Toc338944764"/>
      <w:bookmarkStart w:id="2200" w:name="_Toc342296322"/>
      <w:bookmarkStart w:id="2201" w:name="_Toc483668137"/>
      <w:bookmarkStart w:id="2202" w:name="_Toc490222553"/>
      <w:bookmarkStart w:id="2203" w:name="_Toc117350472"/>
      <w:r>
        <w:t xml:space="preserve">8.3  </w:t>
      </w:r>
      <w:r>
        <w:rPr>
          <w:rFonts w:hint="eastAsia"/>
        </w:rPr>
        <w:t>基准资料错误的责任</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pPr>
        <w:spacing w:line="360" w:lineRule="auto"/>
        <w:ind w:firstLine="420" w:firstLineChars="200"/>
        <w:rPr>
          <w:rFonts w:ascii="宋体"/>
        </w:rPr>
      </w:pPr>
      <w:r>
        <w:rPr>
          <w:rFonts w:hint="eastAsia" w:ascii="宋体" w:hAnsi="宋体"/>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155"/>
        <w:spacing w:before="120" w:after="120"/>
      </w:pPr>
      <w:bookmarkStart w:id="2204" w:name="_Toc486580109"/>
      <w:bookmarkStart w:id="2205" w:name="_Toc152045672"/>
      <w:bookmarkStart w:id="2206" w:name="_Toc144974640"/>
      <w:bookmarkStart w:id="2207" w:name="_Toc338944765"/>
      <w:bookmarkStart w:id="2208" w:name="_Toc179632690"/>
      <w:bookmarkStart w:id="2209" w:name="_Toc152042450"/>
      <w:bookmarkStart w:id="2210" w:name="_Toc342296323"/>
      <w:bookmarkStart w:id="2211" w:name="_Toc480486963"/>
      <w:bookmarkStart w:id="2212" w:name="_Toc480486791"/>
      <w:bookmarkStart w:id="2213" w:name="_Toc489279920"/>
      <w:bookmarkStart w:id="2214" w:name="_Toc483668138"/>
      <w:bookmarkStart w:id="2215" w:name="_Toc490222554"/>
      <w:bookmarkStart w:id="2216" w:name="_Toc117350473"/>
      <w:r>
        <w:t xml:space="preserve">8.4  </w:t>
      </w:r>
      <w:r>
        <w:rPr>
          <w:rFonts w:hint="eastAsia"/>
        </w:rPr>
        <w:t>监理人使用施工控制网</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pPr>
        <w:spacing w:line="360" w:lineRule="auto"/>
        <w:ind w:firstLine="420" w:firstLineChars="200"/>
        <w:rPr>
          <w:rFonts w:ascii="宋体"/>
          <w:dstrike/>
          <w:szCs w:val="21"/>
        </w:rPr>
      </w:pPr>
      <w:r>
        <w:rPr>
          <w:rFonts w:hint="eastAsia" w:ascii="宋体" w:hAnsi="宋体"/>
        </w:rPr>
        <w:t>监理人需要使用施工控制网的，承包人应提供必要的协助，发包人不再为此支付费用。</w:t>
      </w:r>
    </w:p>
    <w:p>
      <w:pPr>
        <w:pStyle w:val="144"/>
        <w:spacing w:before="120" w:after="120"/>
      </w:pPr>
      <w:bookmarkStart w:id="2217" w:name="_Toc483668139"/>
      <w:bookmarkStart w:id="2218" w:name="_Toc486580110"/>
      <w:bookmarkStart w:id="2219" w:name="_Toc342296324"/>
      <w:bookmarkStart w:id="2220" w:name="_Toc490222555"/>
      <w:bookmarkStart w:id="2221" w:name="_Toc338944766"/>
      <w:bookmarkStart w:id="2222" w:name="_Toc489279921"/>
      <w:bookmarkStart w:id="2223" w:name="_Toc480486792"/>
      <w:bookmarkStart w:id="2224" w:name="_Toc480486964"/>
      <w:bookmarkStart w:id="2225" w:name="_Toc117350474"/>
      <w:r>
        <w:t>9.</w:t>
      </w:r>
      <w:r>
        <w:rPr>
          <w:rFonts w:hint="eastAsia"/>
        </w:rPr>
        <w:t>施工安全、治安保卫和环境保护</w:t>
      </w:r>
      <w:bookmarkEnd w:id="2217"/>
      <w:bookmarkEnd w:id="2218"/>
      <w:bookmarkEnd w:id="2219"/>
      <w:bookmarkEnd w:id="2220"/>
      <w:bookmarkEnd w:id="2221"/>
      <w:bookmarkEnd w:id="2222"/>
      <w:bookmarkEnd w:id="2223"/>
      <w:bookmarkEnd w:id="2224"/>
      <w:bookmarkEnd w:id="2225"/>
    </w:p>
    <w:p>
      <w:pPr>
        <w:pStyle w:val="155"/>
        <w:spacing w:before="120" w:after="120"/>
      </w:pPr>
      <w:bookmarkStart w:id="2226" w:name="_Toc480486965"/>
      <w:bookmarkStart w:id="2227" w:name="_Toc342296325"/>
      <w:bookmarkStart w:id="2228" w:name="_Toc486580111"/>
      <w:bookmarkStart w:id="2229" w:name="_Toc489279922"/>
      <w:bookmarkStart w:id="2230" w:name="_Toc480486793"/>
      <w:bookmarkStart w:id="2231" w:name="_Toc179632692"/>
      <w:bookmarkStart w:id="2232" w:name="_Toc490222556"/>
      <w:bookmarkStart w:id="2233" w:name="_Toc483668140"/>
      <w:bookmarkStart w:id="2234" w:name="_Toc152045674"/>
      <w:bookmarkStart w:id="2235" w:name="_Toc152042452"/>
      <w:bookmarkStart w:id="2236" w:name="_Toc338944767"/>
      <w:bookmarkStart w:id="2237" w:name="_Toc144974642"/>
      <w:bookmarkStart w:id="2238" w:name="_Toc117350475"/>
      <w:r>
        <w:t xml:space="preserve">9.1  </w:t>
      </w:r>
      <w:r>
        <w:rPr>
          <w:rFonts w:hint="eastAsia"/>
        </w:rPr>
        <w:t>发包人的施工安全责任</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pPr>
        <w:spacing w:line="360" w:lineRule="auto"/>
        <w:ind w:firstLine="420" w:firstLineChars="200"/>
        <w:rPr>
          <w:rFonts w:ascii="宋体"/>
        </w:rPr>
      </w:pPr>
      <w:r>
        <w:rPr>
          <w:rFonts w:ascii="宋体" w:hAnsi="宋体"/>
        </w:rPr>
        <w:t xml:space="preserve">9.1.1  </w:t>
      </w:r>
      <w:r>
        <w:rPr>
          <w:rFonts w:hint="eastAsia" w:ascii="宋体" w:hAnsi="宋体"/>
        </w:rPr>
        <w:t>发包人应按合同约定履行安全职责，授权监理人按合同约定的安全工作内容监督、检查承包人安全工作的实施，组织承包人和有关单位进行安全检查。</w:t>
      </w:r>
    </w:p>
    <w:p>
      <w:pPr>
        <w:spacing w:line="360" w:lineRule="auto"/>
        <w:ind w:firstLine="420" w:firstLineChars="200"/>
        <w:rPr>
          <w:rFonts w:ascii="宋体"/>
        </w:rPr>
      </w:pPr>
      <w:r>
        <w:rPr>
          <w:rFonts w:ascii="宋体" w:hAnsi="宋体"/>
        </w:rPr>
        <w:t xml:space="preserve">9.1.2  </w:t>
      </w:r>
      <w:r>
        <w:rPr>
          <w:rFonts w:hint="eastAsia" w:ascii="宋体" w:hAnsi="宋体"/>
        </w:rPr>
        <w:t>发包人应对其现场机构雇佣的全部人员的工伤事故承担责任，但由于承包人原因造成发包人人员工伤的，应由承包人承担责任。</w:t>
      </w:r>
    </w:p>
    <w:p>
      <w:pPr>
        <w:spacing w:line="360" w:lineRule="auto"/>
        <w:ind w:firstLine="420" w:firstLineChars="200"/>
        <w:rPr>
          <w:rFonts w:ascii="宋体"/>
        </w:rPr>
      </w:pPr>
      <w:r>
        <w:rPr>
          <w:rFonts w:ascii="宋体" w:hAnsi="宋体"/>
        </w:rPr>
        <w:t xml:space="preserve">9.1.3  </w:t>
      </w:r>
      <w:r>
        <w:rPr>
          <w:rFonts w:hint="eastAsia" w:ascii="宋体" w:hAnsi="宋体"/>
        </w:rPr>
        <w:t>发包人应负责赔偿以下各种情况造成的第三者人身伤亡和财产损失：</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）工程或工程的任何部分对土地的占用所造成的第三者财产损失；</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）由于发包人原因在施工场地及其毗邻地带造成的第三者人身伤亡和财产损失。</w:t>
      </w:r>
    </w:p>
    <w:p>
      <w:pPr>
        <w:pStyle w:val="155"/>
        <w:spacing w:before="120" w:after="120"/>
      </w:pPr>
      <w:bookmarkStart w:id="2239" w:name="_Toc338944768"/>
      <w:bookmarkStart w:id="2240" w:name="_Toc342296326"/>
      <w:bookmarkStart w:id="2241" w:name="_Toc489279923"/>
      <w:bookmarkStart w:id="2242" w:name="_Toc480486794"/>
      <w:bookmarkStart w:id="2243" w:name="_Toc483668141"/>
      <w:bookmarkStart w:id="2244" w:name="_Toc480486966"/>
      <w:bookmarkStart w:id="2245" w:name="_Toc486580112"/>
      <w:bookmarkStart w:id="2246" w:name="_Toc490222557"/>
      <w:bookmarkStart w:id="2247" w:name="_Toc117350476"/>
      <w:r>
        <w:t xml:space="preserve">9.2  </w:t>
      </w:r>
      <w:r>
        <w:rPr>
          <w:rFonts w:hint="eastAsia"/>
        </w:rPr>
        <w:t>承包人的施工安全责任</w:t>
      </w:r>
      <w:bookmarkEnd w:id="2239"/>
      <w:bookmarkEnd w:id="2240"/>
      <w:bookmarkEnd w:id="2241"/>
      <w:bookmarkEnd w:id="2242"/>
      <w:bookmarkEnd w:id="2243"/>
      <w:bookmarkEnd w:id="2244"/>
      <w:bookmarkEnd w:id="2245"/>
      <w:bookmarkEnd w:id="2246"/>
      <w:bookmarkEnd w:id="2247"/>
    </w:p>
    <w:p>
      <w:pPr>
        <w:spacing w:line="360" w:lineRule="auto"/>
        <w:ind w:firstLine="420" w:firstLineChars="200"/>
        <w:rPr>
          <w:rFonts w:ascii="宋体"/>
        </w:rPr>
      </w:pPr>
      <w:r>
        <w:rPr>
          <w:rFonts w:ascii="宋体" w:hAnsi="宋体"/>
        </w:rPr>
        <w:t xml:space="preserve">9.2.1  </w:t>
      </w:r>
      <w:r>
        <w:rPr>
          <w:rFonts w:hint="eastAsia" w:ascii="宋体" w:hAnsi="宋体"/>
        </w:rPr>
        <w:t>承包人应按合同约定履行安全职责</w:t>
      </w:r>
      <w:r>
        <w:rPr>
          <w:rFonts w:ascii="宋体"/>
        </w:rPr>
        <w:t>,</w:t>
      </w:r>
      <w:r>
        <w:rPr>
          <w:rFonts w:hint="eastAsia" w:ascii="宋体" w:hAnsi="宋体"/>
        </w:rPr>
        <w:t>执行监理人有关安全工作的指示</w:t>
      </w:r>
      <w:r>
        <w:rPr>
          <w:rFonts w:ascii="宋体"/>
        </w:rPr>
        <w:t>,</w:t>
      </w:r>
      <w:r>
        <w:rPr>
          <w:rFonts w:hint="eastAsia" w:ascii="宋体" w:hAnsi="宋体"/>
        </w:rPr>
        <w:t>并在合同条款专用部分约定的期限内，按合同约定的安全工作内容，编制施工安全措施计划报送监理人审批。监理人应在合同条款专用部分约定的期限内完成批复。</w:t>
      </w:r>
    </w:p>
    <w:p>
      <w:pPr>
        <w:spacing w:line="360" w:lineRule="auto"/>
        <w:ind w:firstLine="420" w:firstLineChars="200"/>
        <w:rPr>
          <w:rFonts w:ascii="宋体"/>
        </w:rPr>
      </w:pPr>
      <w:r>
        <w:rPr>
          <w:rFonts w:ascii="宋体" w:hAnsi="宋体"/>
        </w:rPr>
        <w:t xml:space="preserve">9.2.2  </w:t>
      </w:r>
      <w:r>
        <w:rPr>
          <w:rFonts w:hint="eastAsia" w:ascii="宋体" w:hAnsi="宋体"/>
        </w:rPr>
        <w:t>承包人应加强施工作业安全管理，特别应加强易燃、易爆材料、火工器材、有毒与腐蚀性材料、行业挥发性有机物和其他危险品的管理，以及对爆破作业和地下工程施工等危险作业的管理。</w:t>
      </w:r>
    </w:p>
    <w:p>
      <w:pPr>
        <w:spacing w:line="360" w:lineRule="auto"/>
        <w:ind w:firstLine="420" w:firstLineChars="200"/>
        <w:rPr>
          <w:rFonts w:ascii="宋体"/>
        </w:rPr>
      </w:pPr>
      <w:r>
        <w:rPr>
          <w:rFonts w:ascii="宋体" w:hAnsi="宋体"/>
        </w:rPr>
        <w:t xml:space="preserve">9.2.3  </w:t>
      </w:r>
      <w:r>
        <w:rPr>
          <w:rFonts w:hint="eastAsia" w:ascii="宋体" w:hAnsi="宋体"/>
        </w:rPr>
        <w:t>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rFonts w:ascii="宋体"/>
        </w:rPr>
      </w:pPr>
      <w:r>
        <w:rPr>
          <w:rFonts w:ascii="宋体" w:hAnsi="宋体"/>
        </w:rPr>
        <w:t xml:space="preserve">9.2.4  </w:t>
      </w:r>
      <w:r>
        <w:rPr>
          <w:rFonts w:hint="eastAsia" w:ascii="宋体" w:hAnsi="宋体"/>
        </w:rPr>
        <w:t>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rFonts w:ascii="宋体"/>
        </w:rPr>
      </w:pPr>
      <w:r>
        <w:rPr>
          <w:rFonts w:ascii="宋体" w:hAnsi="宋体"/>
        </w:rPr>
        <w:t xml:space="preserve">9.2.5  </w:t>
      </w:r>
      <w:r>
        <w:rPr>
          <w:rFonts w:hint="eastAsia" w:ascii="宋体" w:hAnsi="宋体"/>
        </w:rPr>
        <w:t>合同约定的安全作业环境及安全施工措施所需费用应遵守有关规定，并包括在相关工作的合同价格中。因采取合同未约定的安全作业环境及安全施工措施增加的费用，由监理人按第</w:t>
      </w:r>
      <w:r>
        <w:rPr>
          <w:rFonts w:ascii="宋体" w:hAnsi="宋体"/>
        </w:rPr>
        <w:t>3.5</w:t>
      </w:r>
      <w:r>
        <w:rPr>
          <w:rFonts w:hint="eastAsia" w:ascii="宋体" w:hAnsi="宋体"/>
        </w:rPr>
        <w:t>款商定或确定。</w:t>
      </w:r>
    </w:p>
    <w:p>
      <w:pPr>
        <w:spacing w:line="360" w:lineRule="auto"/>
        <w:ind w:firstLine="420" w:firstLineChars="200"/>
        <w:rPr>
          <w:rFonts w:ascii="宋体"/>
        </w:rPr>
      </w:pPr>
      <w:r>
        <w:rPr>
          <w:rFonts w:ascii="宋体" w:hAnsi="宋体"/>
        </w:rPr>
        <w:t xml:space="preserve">9.2.6  </w:t>
      </w:r>
      <w:r>
        <w:rPr>
          <w:rFonts w:hint="eastAsia" w:ascii="宋体" w:hAnsi="宋体"/>
        </w:rPr>
        <w:t>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rFonts w:ascii="宋体"/>
        </w:rPr>
      </w:pPr>
      <w:r>
        <w:rPr>
          <w:rFonts w:ascii="宋体" w:hAnsi="宋体"/>
        </w:rPr>
        <w:t xml:space="preserve">9.2.7  </w:t>
      </w:r>
      <w:r>
        <w:rPr>
          <w:rFonts w:hint="eastAsia" w:ascii="宋体" w:hAnsi="宋体"/>
        </w:rPr>
        <w:t>由于承包人原因在施工场地内及其毗邻地带造成的第三者人员伤亡和财产损失，由承包人负责赔偿。</w:t>
      </w:r>
    </w:p>
    <w:p>
      <w:pPr>
        <w:pStyle w:val="155"/>
        <w:spacing w:before="120" w:after="120"/>
      </w:pPr>
      <w:bookmarkStart w:id="2248" w:name="_Toc489279924"/>
      <w:bookmarkStart w:id="2249" w:name="_Toc490222558"/>
      <w:bookmarkStart w:id="2250" w:name="_Toc486580113"/>
      <w:bookmarkStart w:id="2251" w:name="_Toc480486795"/>
      <w:bookmarkStart w:id="2252" w:name="_Toc338944769"/>
      <w:bookmarkStart w:id="2253" w:name="_Toc342296327"/>
      <w:bookmarkStart w:id="2254" w:name="_Toc483668142"/>
      <w:bookmarkStart w:id="2255" w:name="_Toc480486967"/>
      <w:bookmarkStart w:id="2256" w:name="_Toc117350477"/>
      <w:r>
        <w:t xml:space="preserve">9.3  </w:t>
      </w:r>
      <w:r>
        <w:rPr>
          <w:rFonts w:hint="eastAsia"/>
        </w:rPr>
        <w:t>治安保卫</w:t>
      </w:r>
      <w:bookmarkEnd w:id="2248"/>
      <w:bookmarkEnd w:id="2249"/>
      <w:bookmarkEnd w:id="2250"/>
      <w:bookmarkEnd w:id="2251"/>
      <w:bookmarkEnd w:id="2252"/>
      <w:bookmarkEnd w:id="2253"/>
      <w:bookmarkEnd w:id="2254"/>
      <w:bookmarkEnd w:id="2255"/>
      <w:bookmarkEnd w:id="2256"/>
    </w:p>
    <w:p>
      <w:pPr>
        <w:spacing w:line="360" w:lineRule="auto"/>
        <w:ind w:firstLine="420" w:firstLineChars="200"/>
        <w:rPr>
          <w:rFonts w:ascii="宋体"/>
        </w:rPr>
      </w:pPr>
      <w:r>
        <w:rPr>
          <w:rFonts w:ascii="宋体" w:hAnsi="宋体"/>
        </w:rPr>
        <w:t xml:space="preserve">9.3.1  </w:t>
      </w:r>
      <w:r>
        <w:rPr>
          <w:rFonts w:hint="eastAsia" w:ascii="宋体" w:hAnsi="宋体"/>
        </w:rPr>
        <w:t>发包人应与当地公安部门协商，在现场建立治安管理机构或联防组织，负责统一管理施工场地的治安保卫事项，履行合同工程的治安保卫职责。</w:t>
      </w:r>
    </w:p>
    <w:p>
      <w:pPr>
        <w:spacing w:line="360" w:lineRule="auto"/>
        <w:ind w:firstLine="420" w:firstLineChars="200"/>
        <w:rPr>
          <w:rFonts w:ascii="宋体"/>
        </w:rPr>
      </w:pPr>
      <w:r>
        <w:rPr>
          <w:rFonts w:ascii="宋体" w:hAnsi="宋体"/>
        </w:rPr>
        <w:t xml:space="preserve">9.3.2  </w:t>
      </w:r>
      <w:r>
        <w:rPr>
          <w:rFonts w:hint="eastAsia" w:ascii="宋体" w:hAnsi="宋体"/>
        </w:rPr>
        <w:t>发包人和承包人除应协助现场治安管理机构或联防组织维护施工场地的社会治安外，还应做好包括生活区在内的各自管辖区的治安保卫工作。</w:t>
      </w:r>
    </w:p>
    <w:p>
      <w:pPr>
        <w:spacing w:line="360" w:lineRule="auto"/>
        <w:ind w:firstLine="420" w:firstLineChars="200"/>
        <w:rPr>
          <w:rFonts w:ascii="黑体" w:hAnsi="黑体" w:eastAsia="黑体"/>
        </w:rPr>
      </w:pPr>
      <w:r>
        <w:rPr>
          <w:rFonts w:ascii="宋体" w:hAnsi="宋体"/>
        </w:rPr>
        <w:t xml:space="preserve">9.3.3  </w:t>
      </w:r>
      <w:r>
        <w:rPr>
          <w:rFonts w:hint="eastAsia" w:ascii="宋体" w:hAnsi="宋体"/>
        </w:rPr>
        <w:t>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w:t>
      </w:r>
      <w:r>
        <w:rPr>
          <w:rFonts w:hint="eastAsia" w:ascii="宋体" w:hAnsi="宋体"/>
          <w:szCs w:val="21"/>
        </w:rPr>
        <w:t>施工场地治安管理计划和突发治安事件紧急预案的责任人</w:t>
      </w:r>
      <w:r>
        <w:rPr>
          <w:rFonts w:hint="eastAsia" w:ascii="黑体" w:hAnsi="黑体" w:eastAsia="黑体"/>
        </w:rPr>
        <w:t>见合同条款专用部分。</w:t>
      </w:r>
    </w:p>
    <w:p>
      <w:pPr>
        <w:spacing w:line="360" w:lineRule="auto"/>
        <w:ind w:firstLine="420" w:firstLineChars="200"/>
        <w:rPr>
          <w:rFonts w:ascii="宋体" w:cs="宋体"/>
        </w:rPr>
      </w:pPr>
      <w:r>
        <w:rPr>
          <w:rFonts w:ascii="宋体" w:hAnsi="宋体" w:cs="宋体"/>
        </w:rPr>
        <w:t xml:space="preserve">9.3.4  </w:t>
      </w:r>
      <w:r>
        <w:rPr>
          <w:rFonts w:hint="eastAsia" w:ascii="宋体" w:hAnsi="宋体" w:cs="宋体"/>
        </w:rPr>
        <w:t>建立健全疫情常态化防控应急机制，始终坚持疫情常态化防控和应急处置相结合的原则，按照项目所在地分区分级标准及时制定完善应急预案，明确应急处置流程，适时开展应急演练，确保责任落实到人。</w:t>
      </w:r>
    </w:p>
    <w:p>
      <w:pPr>
        <w:spacing w:line="360" w:lineRule="auto"/>
        <w:ind w:firstLine="420" w:firstLineChars="200"/>
        <w:rPr>
          <w:rFonts w:ascii="宋体" w:cs="宋体"/>
        </w:rPr>
      </w:pPr>
      <w:r>
        <w:rPr>
          <w:rFonts w:hint="eastAsia" w:ascii="宋体" w:hAnsi="宋体" w:cs="宋体"/>
        </w:rPr>
        <w:t>建立联防联控机制，对接属地社区、卫生健康、疾控等部门，全面落实各项疫情常态化防控措施。发生涉疫情况，应第一时间向有关部门报告、第一时间启动应急预案、第一时间采取停工措施并封闭现场；并按照应急预案和相关规定进行先期处置，安排涉疫人员至隔离观察区域，与现场其他人员进行隔离，并安排专人负责卫生健康、疾控等部门防控专业人员的进场引导工作，保障急救通道畅通；同时积极配合卫生健康、疾控等部门做好流行病学调查、医学观察，对现场进行全面消杀。</w:t>
      </w:r>
    </w:p>
    <w:p>
      <w:pPr>
        <w:pStyle w:val="155"/>
        <w:spacing w:before="120" w:after="120"/>
      </w:pPr>
      <w:bookmarkStart w:id="2257" w:name="_Toc342296328"/>
      <w:bookmarkStart w:id="2258" w:name="_Toc338944770"/>
      <w:bookmarkStart w:id="2259" w:name="_Toc489279925"/>
      <w:bookmarkStart w:id="2260" w:name="_Toc483668143"/>
      <w:bookmarkStart w:id="2261" w:name="_Toc486580114"/>
      <w:bookmarkStart w:id="2262" w:name="_Toc480486968"/>
      <w:bookmarkStart w:id="2263" w:name="_Toc490222559"/>
      <w:bookmarkStart w:id="2264" w:name="_Toc480486796"/>
      <w:bookmarkStart w:id="2265" w:name="_Toc117350478"/>
      <w:r>
        <w:t xml:space="preserve">9.4  </w:t>
      </w:r>
      <w:r>
        <w:rPr>
          <w:rFonts w:hint="eastAsia"/>
        </w:rPr>
        <w:t>环境保护</w:t>
      </w:r>
      <w:bookmarkEnd w:id="2257"/>
      <w:bookmarkEnd w:id="2258"/>
      <w:bookmarkEnd w:id="2259"/>
      <w:bookmarkEnd w:id="2260"/>
      <w:bookmarkEnd w:id="2261"/>
      <w:bookmarkEnd w:id="2262"/>
      <w:bookmarkEnd w:id="2263"/>
      <w:bookmarkEnd w:id="2264"/>
      <w:bookmarkEnd w:id="2265"/>
    </w:p>
    <w:p>
      <w:pPr>
        <w:spacing w:line="360" w:lineRule="auto"/>
        <w:ind w:firstLine="420" w:firstLineChars="200"/>
        <w:rPr>
          <w:rFonts w:ascii="宋体"/>
        </w:rPr>
      </w:pPr>
      <w:r>
        <w:rPr>
          <w:rFonts w:ascii="宋体" w:hAnsi="宋体"/>
        </w:rPr>
        <w:t xml:space="preserve">9.4.1  </w:t>
      </w:r>
      <w:r>
        <w:rPr>
          <w:rFonts w:hint="eastAsia" w:ascii="宋体" w:hAnsi="宋体"/>
        </w:rPr>
        <w:t>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rFonts w:ascii="宋体"/>
        </w:rPr>
      </w:pPr>
      <w:r>
        <w:rPr>
          <w:rFonts w:ascii="宋体" w:hAnsi="宋体"/>
        </w:rPr>
        <w:t xml:space="preserve">9.4.2  </w:t>
      </w:r>
      <w:r>
        <w:rPr>
          <w:rFonts w:hint="eastAsia" w:ascii="宋体" w:hAnsi="宋体"/>
        </w:rPr>
        <w:t>承包人应建立</w:t>
      </w:r>
      <w:r>
        <w:rPr>
          <w:rFonts w:hint="eastAsia" w:ascii="宋体" w:hAnsi="宋体"/>
          <w:szCs w:val="21"/>
        </w:rPr>
        <w:t>施工扬尘治理、建筑垃圾、土方和砂石清运与消纳、保证使用已在本市进行信息编码登记符合排放标准的非道路移动机械和严禁使用高排放非道路移动机械以及行业挥发性有机物治理</w:t>
      </w:r>
      <w:r>
        <w:rPr>
          <w:rFonts w:hint="eastAsia" w:ascii="宋体" w:hAnsi="宋体"/>
          <w:kern w:val="0"/>
          <w:szCs w:val="21"/>
        </w:rPr>
        <w:t>（如</w:t>
      </w:r>
      <w:r>
        <w:rPr>
          <w:rFonts w:hint="eastAsia" w:ascii="宋体" w:hAnsi="宋体"/>
          <w:kern w:val="0"/>
        </w:rPr>
        <w:t>建筑外墙涂装、钢结构等鼓励使用水性漆替代油性漆</w:t>
      </w:r>
      <w:r>
        <w:rPr>
          <w:rFonts w:hint="eastAsia" w:ascii="宋体" w:hAnsi="宋体"/>
          <w:kern w:val="0"/>
          <w:szCs w:val="21"/>
        </w:rPr>
        <w:t>）</w:t>
      </w:r>
      <w:r>
        <w:rPr>
          <w:rFonts w:hint="eastAsia" w:ascii="宋体" w:hAnsi="宋体"/>
          <w:szCs w:val="21"/>
        </w:rPr>
        <w:t>等</w:t>
      </w:r>
      <w:r>
        <w:rPr>
          <w:rFonts w:hint="eastAsia" w:ascii="宋体" w:hAnsi="宋体"/>
        </w:rPr>
        <w:t>责任制，针对工程项目特点制定具体的实施方案，并严格实施。如扬尘治理，承包人应在建筑工地公示施工扬尘治理措施、责任人、主管部门等信息，并及时向当地主管部门报送施工扬尘治理措施落实情况。</w:t>
      </w:r>
    </w:p>
    <w:p>
      <w:pPr>
        <w:spacing w:line="360" w:lineRule="auto"/>
        <w:ind w:firstLine="420" w:firstLineChars="200"/>
        <w:rPr>
          <w:rFonts w:ascii="宋体"/>
        </w:rPr>
      </w:pPr>
      <w:r>
        <w:rPr>
          <w:rFonts w:ascii="宋体" w:hAnsi="宋体"/>
        </w:rPr>
        <w:t xml:space="preserve">9.4.3  </w:t>
      </w:r>
      <w:r>
        <w:rPr>
          <w:rFonts w:hint="eastAsia" w:ascii="宋体" w:hAnsi="宋体"/>
        </w:rPr>
        <w:t>承包人应在合同条款专用部分约定的时限内，按合同约定的环保工作内容，编制施工环保措施计划（包含第</w:t>
      </w:r>
      <w:r>
        <w:rPr>
          <w:rFonts w:ascii="宋体" w:hAnsi="宋体"/>
        </w:rPr>
        <w:t>9.4.2</w:t>
      </w:r>
      <w:r>
        <w:rPr>
          <w:rFonts w:hint="eastAsia" w:ascii="宋体" w:hAnsi="宋体"/>
        </w:rPr>
        <w:t>项约定的实施方案内容），报送监理人审批。监理人在合同条款专用部分约定的期限内给予批复。</w:t>
      </w:r>
    </w:p>
    <w:p>
      <w:pPr>
        <w:spacing w:line="360" w:lineRule="auto"/>
        <w:ind w:firstLine="420" w:firstLineChars="200"/>
        <w:rPr>
          <w:rFonts w:ascii="宋体"/>
        </w:rPr>
      </w:pPr>
      <w:r>
        <w:rPr>
          <w:rFonts w:ascii="宋体" w:hAnsi="宋体"/>
        </w:rPr>
        <w:t xml:space="preserve">9.4.4  </w:t>
      </w:r>
      <w:r>
        <w:rPr>
          <w:rFonts w:hint="eastAsia" w:ascii="宋体" w:hAnsi="宋体"/>
        </w:rPr>
        <w:t>承包人应按照批准的施工环保措施计划有序地堆放和处理施工废弃物</w:t>
      </w:r>
      <w:r>
        <w:rPr>
          <w:rFonts w:hint="eastAsia" w:ascii="宋体" w:hAnsi="宋体"/>
          <w:szCs w:val="21"/>
        </w:rPr>
        <w:t>，</w:t>
      </w:r>
      <w:r>
        <w:rPr>
          <w:rFonts w:hint="eastAsia" w:ascii="宋体" w:hAnsi="宋体"/>
        </w:rPr>
        <w:t>避免对环境造成破坏。因承包人任意堆放或弃置施工废弃物造成妨碍公共交通、影响城镇居民生活、降低河流行洪能力、危及居民安全、破坏和污染环境，或者影响其他承包人施工等后果的，承包人应承担责任。</w:t>
      </w:r>
    </w:p>
    <w:p>
      <w:pPr>
        <w:spacing w:line="360" w:lineRule="auto"/>
        <w:ind w:firstLine="420" w:firstLineChars="200"/>
        <w:rPr>
          <w:rFonts w:ascii="宋体"/>
        </w:rPr>
      </w:pPr>
      <w:r>
        <w:rPr>
          <w:rFonts w:ascii="宋体" w:hAnsi="宋体"/>
        </w:rPr>
        <w:t xml:space="preserve">9.4.5  </w:t>
      </w:r>
      <w:r>
        <w:rPr>
          <w:rFonts w:hint="eastAsia" w:ascii="宋体" w:hAnsi="宋体"/>
        </w:rPr>
        <w:t>承包人应按合同约定采取有效措施，对施工开挖的边坡及时进行支护</w:t>
      </w:r>
      <w:r>
        <w:rPr>
          <w:rFonts w:ascii="宋体"/>
        </w:rPr>
        <w:t>,</w:t>
      </w:r>
      <w:r>
        <w:rPr>
          <w:rFonts w:hint="eastAsia" w:ascii="宋体" w:hAnsi="宋体"/>
        </w:rPr>
        <w:t>维护排水设施，并进行水土保护，避免因施工造成的地质灾害。</w:t>
      </w:r>
    </w:p>
    <w:p>
      <w:pPr>
        <w:spacing w:line="360" w:lineRule="auto"/>
        <w:ind w:firstLine="420" w:firstLineChars="200"/>
        <w:rPr>
          <w:rFonts w:ascii="宋体"/>
        </w:rPr>
      </w:pPr>
      <w:r>
        <w:rPr>
          <w:rFonts w:ascii="宋体" w:hAnsi="宋体"/>
        </w:rPr>
        <w:t xml:space="preserve">9.4.6  </w:t>
      </w:r>
      <w:r>
        <w:rPr>
          <w:rFonts w:hint="eastAsia" w:ascii="宋体" w:hAnsi="宋体"/>
        </w:rPr>
        <w:t>承包人应按国家饮用水管理标准定期对饮用水源进行监测，防止施工活动污染饮用水源。</w:t>
      </w:r>
    </w:p>
    <w:p>
      <w:pPr>
        <w:spacing w:line="360" w:lineRule="auto"/>
        <w:ind w:firstLine="424" w:firstLineChars="202"/>
        <w:rPr>
          <w:rFonts w:ascii="宋体"/>
        </w:rPr>
      </w:pPr>
      <w:r>
        <w:rPr>
          <w:rFonts w:ascii="宋体" w:hAnsi="宋体"/>
        </w:rPr>
        <w:t xml:space="preserve">9.4.7  </w:t>
      </w:r>
      <w:r>
        <w:rPr>
          <w:rFonts w:hint="eastAsia" w:ascii="宋体" w:hAnsi="宋体"/>
        </w:rPr>
        <w:t>承包人应按合同约定，加强对噪声、粉尘、废气、废水和废油的控制，努力降低噪声，控制粉尘和废气浓度，做好废水和废油的治理和排放。</w:t>
      </w:r>
    </w:p>
    <w:p>
      <w:pPr>
        <w:pStyle w:val="155"/>
        <w:spacing w:before="120" w:after="120"/>
      </w:pPr>
      <w:bookmarkStart w:id="2266" w:name="_Toc490222560"/>
      <w:bookmarkStart w:id="2267" w:name="_Toc489279926"/>
      <w:bookmarkStart w:id="2268" w:name="_Toc486580115"/>
      <w:bookmarkStart w:id="2269" w:name="_Toc144974646"/>
      <w:bookmarkStart w:id="2270" w:name="_Toc480486969"/>
      <w:bookmarkStart w:id="2271" w:name="_Toc179632696"/>
      <w:bookmarkStart w:id="2272" w:name="_Toc342296329"/>
      <w:bookmarkStart w:id="2273" w:name="_Toc152045678"/>
      <w:bookmarkStart w:id="2274" w:name="_Toc338944771"/>
      <w:bookmarkStart w:id="2275" w:name="_Toc480486797"/>
      <w:bookmarkStart w:id="2276" w:name="_Toc483668144"/>
      <w:bookmarkStart w:id="2277" w:name="_Toc152042456"/>
      <w:bookmarkStart w:id="2278" w:name="_Toc117350479"/>
      <w:r>
        <w:t xml:space="preserve">9.5  </w:t>
      </w:r>
      <w:r>
        <w:rPr>
          <w:rFonts w:hint="eastAsia"/>
        </w:rPr>
        <w:t>事故处理</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pPr>
        <w:spacing w:line="360" w:lineRule="auto"/>
        <w:ind w:firstLine="420" w:firstLineChars="200"/>
        <w:rPr>
          <w:rFonts w:ascii="宋体"/>
        </w:rPr>
      </w:pPr>
      <w:r>
        <w:rPr>
          <w:rFonts w:hint="eastAsia" w:ascii="宋体" w:hAnsi="宋体"/>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155"/>
        <w:spacing w:before="120" w:after="120"/>
      </w:pPr>
      <w:bookmarkStart w:id="2279" w:name="_Toc117350480"/>
      <w:r>
        <w:t xml:space="preserve">9.6  </w:t>
      </w:r>
      <w:r>
        <w:rPr>
          <w:rFonts w:hint="eastAsia"/>
        </w:rPr>
        <w:t>施工现场安全生产标准化管理目标</w:t>
      </w:r>
      <w:bookmarkEnd w:id="2279"/>
    </w:p>
    <w:p>
      <w:pPr>
        <w:spacing w:line="360" w:lineRule="auto"/>
        <w:ind w:firstLine="420" w:firstLineChars="200"/>
        <w:rPr>
          <w:rFonts w:ascii="宋体"/>
        </w:rPr>
      </w:pPr>
      <w:r>
        <w:rPr>
          <w:rFonts w:ascii="宋体" w:hAnsi="宋体"/>
        </w:rPr>
        <w:t>9.6.1</w:t>
      </w:r>
      <w:r>
        <w:rPr>
          <w:rFonts w:hint="eastAsia" w:ascii="宋体" w:hAnsi="宋体"/>
        </w:rPr>
        <w:t>由于承包人原因，施工现场安全生产标准化评定、认定等级未达到合同协议书中约定的管理目标等级但“达标（合格）”的，承包人应当向发包人支付未达到合同协议书中约定的安全生产标准化管理目标等级的违约金或损失赔偿金。未达到合同协议书中约定的安全生产标准化管理目标等级的违约金或损失赔偿金的金额或者计算方法</w:t>
      </w:r>
      <w:r>
        <w:rPr>
          <w:rFonts w:hint="eastAsia" w:ascii="黑体" w:hAnsi="黑体" w:eastAsia="黑体"/>
        </w:rPr>
        <w:t>见合同条款专用部分。</w:t>
      </w:r>
    </w:p>
    <w:p>
      <w:pPr>
        <w:spacing w:line="360" w:lineRule="auto"/>
        <w:ind w:firstLine="420" w:firstLineChars="200"/>
        <w:rPr>
          <w:rFonts w:ascii="黑体" w:hAnsi="黑体" w:eastAsia="黑体"/>
        </w:rPr>
      </w:pPr>
      <w:r>
        <w:rPr>
          <w:rFonts w:ascii="宋体" w:hAnsi="宋体"/>
        </w:rPr>
        <w:t xml:space="preserve">9.6.2 </w:t>
      </w:r>
      <w:r>
        <w:rPr>
          <w:rFonts w:hint="eastAsia" w:ascii="宋体" w:hAnsi="宋体"/>
        </w:rPr>
        <w:t>发包人鼓励承包人提高施工现场安全生产标准化管理。施工现场安全生产标准化评定、认定等级高于合同协议书中约定的管理目标等级的，发包人可给予承包人创优奖励。发包人是否给予承包人创优奖励及创优奖励金额或者计算方法</w:t>
      </w:r>
      <w:r>
        <w:rPr>
          <w:rFonts w:hint="eastAsia" w:ascii="黑体" w:hAnsi="黑体" w:eastAsia="黑体"/>
        </w:rPr>
        <w:t>见合同条款专用部分。</w:t>
      </w:r>
    </w:p>
    <w:p>
      <w:pPr>
        <w:pStyle w:val="155"/>
        <w:tabs>
          <w:tab w:val="left" w:pos="567"/>
        </w:tabs>
        <w:spacing w:before="120" w:after="120"/>
      </w:pPr>
      <w:bookmarkStart w:id="2280" w:name="_Toc117350481"/>
      <w:r>
        <w:t xml:space="preserve">9.7  </w:t>
      </w:r>
      <w:r>
        <w:rPr>
          <w:rFonts w:hint="eastAsia"/>
        </w:rPr>
        <w:t>特殊安全文明施工</w:t>
      </w:r>
      <w:bookmarkEnd w:id="2280"/>
    </w:p>
    <w:p>
      <w:pPr>
        <w:spacing w:line="360" w:lineRule="auto"/>
        <w:ind w:firstLine="420" w:firstLineChars="200"/>
        <w:rPr>
          <w:rFonts w:ascii="宋体"/>
        </w:rPr>
      </w:pPr>
      <w:r>
        <w:rPr>
          <w:rFonts w:ascii="宋体" w:hAnsi="宋体"/>
        </w:rPr>
        <w:t>9.7.1</w:t>
      </w:r>
      <w:r>
        <w:rPr>
          <w:rFonts w:hint="eastAsia" w:ascii="宋体" w:hAnsi="宋体"/>
        </w:rPr>
        <w:t>由于承包人原因，特殊安全文明施工要求未达到合同约定的要求，承包人应当向发包人支付未达到合同约定的特殊安全文明施工要求的违约金或损失赔偿金。未达到合同约定的特殊安全文明施工要求的违约金或损失赔偿金的金额或者计算方法</w:t>
      </w:r>
      <w:r>
        <w:rPr>
          <w:rFonts w:hint="eastAsia" w:ascii="黑体" w:hAnsi="黑体" w:eastAsia="黑体"/>
        </w:rPr>
        <w:t>见合同条款专用部分。</w:t>
      </w:r>
    </w:p>
    <w:p>
      <w:pPr>
        <w:spacing w:line="360" w:lineRule="auto"/>
        <w:ind w:firstLine="420" w:firstLineChars="200"/>
        <w:rPr>
          <w:rFonts w:ascii="黑体" w:hAnsi="黑体" w:eastAsia="黑体"/>
        </w:rPr>
      </w:pPr>
      <w:r>
        <w:rPr>
          <w:rFonts w:ascii="宋体" w:hAnsi="宋体"/>
        </w:rPr>
        <w:t>9.7</w:t>
      </w:r>
      <w:r>
        <w:rPr>
          <w:rFonts w:ascii="宋体"/>
        </w:rPr>
        <w:t>.</w:t>
      </w:r>
      <w:r>
        <w:rPr>
          <w:rFonts w:ascii="宋体" w:hAnsi="宋体"/>
        </w:rPr>
        <w:t xml:space="preserve">2 </w:t>
      </w:r>
      <w:r>
        <w:rPr>
          <w:rFonts w:hint="eastAsia" w:ascii="宋体" w:hAnsi="宋体"/>
        </w:rPr>
        <w:t>发包人鼓励承包人提高特殊安全文明施工要求。特殊安全文明施工要求高于合同约定的要求，发包人可给予承包人创优奖励。发包人是否给予承包人创优奖励及创优奖励金额或者计算方法</w:t>
      </w:r>
      <w:r>
        <w:rPr>
          <w:rFonts w:hint="eastAsia" w:ascii="黑体" w:hAnsi="黑体" w:eastAsia="黑体"/>
        </w:rPr>
        <w:t>见合同条款专用部分。</w:t>
      </w:r>
    </w:p>
    <w:p>
      <w:pPr>
        <w:pStyle w:val="144"/>
        <w:spacing w:before="120" w:after="120"/>
      </w:pPr>
      <w:bookmarkStart w:id="2281" w:name="_Toc490222561"/>
      <w:bookmarkStart w:id="2282" w:name="_Toc486580116"/>
      <w:bookmarkStart w:id="2283" w:name="_Toc489279927"/>
      <w:bookmarkStart w:id="2284" w:name="_Toc480486970"/>
      <w:bookmarkStart w:id="2285" w:name="_Toc338944772"/>
      <w:bookmarkStart w:id="2286" w:name="_Toc480486798"/>
      <w:bookmarkStart w:id="2287" w:name="_Toc483668145"/>
      <w:bookmarkStart w:id="2288" w:name="_Toc342296330"/>
      <w:bookmarkStart w:id="2289" w:name="_Toc117350482"/>
      <w:r>
        <w:t>10.</w:t>
      </w:r>
      <w:r>
        <w:rPr>
          <w:rFonts w:hint="eastAsia"/>
        </w:rPr>
        <w:t>进度计划</w:t>
      </w:r>
      <w:bookmarkEnd w:id="2281"/>
      <w:bookmarkEnd w:id="2282"/>
      <w:bookmarkEnd w:id="2283"/>
      <w:bookmarkEnd w:id="2284"/>
      <w:bookmarkEnd w:id="2285"/>
      <w:bookmarkEnd w:id="2286"/>
      <w:bookmarkEnd w:id="2287"/>
      <w:bookmarkEnd w:id="2288"/>
      <w:bookmarkEnd w:id="2289"/>
    </w:p>
    <w:p>
      <w:pPr>
        <w:pStyle w:val="155"/>
        <w:spacing w:before="120" w:after="120"/>
      </w:pPr>
      <w:bookmarkStart w:id="2290" w:name="_Toc480486799"/>
      <w:bookmarkStart w:id="2291" w:name="_Toc483668146"/>
      <w:bookmarkStart w:id="2292" w:name="_Toc486580117"/>
      <w:bookmarkStart w:id="2293" w:name="_Toc490222562"/>
      <w:bookmarkStart w:id="2294" w:name="_Toc338944773"/>
      <w:bookmarkStart w:id="2295" w:name="_Toc480486971"/>
      <w:bookmarkStart w:id="2296" w:name="_Toc342296331"/>
      <w:bookmarkStart w:id="2297" w:name="_Toc489279928"/>
      <w:bookmarkStart w:id="2298" w:name="_Toc117350483"/>
      <w:r>
        <w:t xml:space="preserve">10.1  </w:t>
      </w:r>
      <w:r>
        <w:rPr>
          <w:rFonts w:hint="eastAsia"/>
        </w:rPr>
        <w:t>合同进度计划</w:t>
      </w:r>
      <w:bookmarkEnd w:id="2290"/>
      <w:bookmarkEnd w:id="2291"/>
      <w:bookmarkEnd w:id="2292"/>
      <w:bookmarkEnd w:id="2293"/>
      <w:bookmarkEnd w:id="2294"/>
      <w:bookmarkEnd w:id="2295"/>
      <w:bookmarkEnd w:id="2296"/>
      <w:bookmarkEnd w:id="2297"/>
      <w:bookmarkEnd w:id="2298"/>
    </w:p>
    <w:p>
      <w:pPr>
        <w:spacing w:line="360" w:lineRule="auto"/>
        <w:ind w:firstLine="420" w:firstLineChars="200"/>
        <w:rPr>
          <w:rFonts w:ascii="宋体"/>
        </w:rPr>
      </w:pPr>
      <w:r>
        <w:rPr>
          <w:rFonts w:ascii="宋体" w:hAnsi="宋体"/>
        </w:rPr>
        <w:t xml:space="preserve">10.1.1  </w:t>
      </w:r>
      <w:r>
        <w:rPr>
          <w:rFonts w:hint="eastAsia" w:ascii="宋体" w:hAnsi="宋体"/>
        </w:rPr>
        <w:t>承包人应</w:t>
      </w:r>
      <w:r>
        <w:rPr>
          <w:rFonts w:hint="eastAsia" w:ascii="宋体" w:hAnsi="宋体"/>
          <w:szCs w:val="21"/>
        </w:rPr>
        <w:t>当在收到监理人按照第</w:t>
      </w:r>
      <w:r>
        <w:rPr>
          <w:rFonts w:ascii="宋体" w:hAnsi="宋体"/>
          <w:szCs w:val="21"/>
        </w:rPr>
        <w:t>11.1.1</w:t>
      </w:r>
      <w:r>
        <w:rPr>
          <w:rFonts w:hint="eastAsia" w:ascii="宋体" w:hAnsi="宋体"/>
          <w:szCs w:val="21"/>
        </w:rPr>
        <w:t>项发出的开工通知后</w:t>
      </w:r>
      <w:r>
        <w:rPr>
          <w:rFonts w:ascii="宋体" w:hAnsi="宋体"/>
          <w:szCs w:val="21"/>
        </w:rPr>
        <w:t>7</w:t>
      </w:r>
      <w:r>
        <w:rPr>
          <w:rFonts w:hint="eastAsia" w:ascii="宋体" w:hAnsi="宋体"/>
          <w:szCs w:val="21"/>
        </w:rPr>
        <w:t>天内，</w:t>
      </w:r>
      <w:r>
        <w:rPr>
          <w:rFonts w:hint="eastAsia" w:ascii="宋体" w:hAnsi="宋体"/>
        </w:rPr>
        <w:t>编制详细的施工进度计划和施工方案说明报送监理人，</w:t>
      </w:r>
      <w:r>
        <w:rPr>
          <w:rFonts w:hint="eastAsia" w:ascii="宋体" w:hAnsi="宋体"/>
          <w:szCs w:val="21"/>
        </w:rPr>
        <w:t>施工进度计划</w:t>
      </w:r>
      <w:bookmarkStart w:id="2299" w:name="_Hlk114649467"/>
      <w:r>
        <w:rPr>
          <w:rFonts w:hint="eastAsia" w:ascii="宋体" w:hAnsi="宋体"/>
          <w:szCs w:val="21"/>
        </w:rPr>
        <w:t>应当</w:t>
      </w:r>
      <w:r>
        <w:rPr>
          <w:rFonts w:ascii="宋体" w:hAnsi="宋体"/>
          <w:szCs w:val="21"/>
        </w:rPr>
        <w:t>反映</w:t>
      </w:r>
      <w:r>
        <w:rPr>
          <w:rFonts w:hint="eastAsia" w:ascii="宋体" w:hAnsi="宋体"/>
          <w:szCs w:val="21"/>
        </w:rPr>
        <w:t>进度管理的相关要素，包括开工日期和竣工日期、要求发包人组织设计人进行阶段性工程设计交底的时间、区段工程的开始时间和完成时间、施工次序和方法、施工活动的逻辑关系，主要材料和设备进场时间和数量，管理人员、劳动力及主要施工机械设备进出场时间和数量，保障</w:t>
      </w:r>
      <w:r>
        <w:rPr>
          <w:rFonts w:ascii="宋体" w:hAnsi="宋体"/>
          <w:szCs w:val="21"/>
        </w:rPr>
        <w:t>工程</w:t>
      </w:r>
      <w:r>
        <w:rPr>
          <w:rFonts w:hint="eastAsia" w:ascii="宋体" w:hAnsi="宋体"/>
          <w:szCs w:val="21"/>
        </w:rPr>
        <w:t>安全</w:t>
      </w:r>
      <w:r>
        <w:rPr>
          <w:rFonts w:ascii="宋体" w:hAnsi="宋体"/>
          <w:szCs w:val="21"/>
        </w:rPr>
        <w:t>、质量</w:t>
      </w:r>
      <w:r>
        <w:rPr>
          <w:rFonts w:hint="eastAsia" w:ascii="宋体" w:hAnsi="宋体"/>
          <w:szCs w:val="21"/>
        </w:rPr>
        <w:t>和工期</w:t>
      </w:r>
      <w:r>
        <w:rPr>
          <w:rFonts w:ascii="宋体" w:hAnsi="宋体"/>
          <w:szCs w:val="21"/>
        </w:rPr>
        <w:t>的技术措施等</w:t>
      </w:r>
      <w:r>
        <w:rPr>
          <w:rFonts w:hint="eastAsia" w:ascii="宋体" w:hAnsi="宋体"/>
          <w:szCs w:val="21"/>
        </w:rPr>
        <w:t>。</w:t>
      </w:r>
      <w:bookmarkEnd w:id="2299"/>
      <w:r>
        <w:rPr>
          <w:rFonts w:hint="eastAsia" w:ascii="宋体" w:hAnsi="宋体"/>
        </w:rPr>
        <w:t>监理人应在</w:t>
      </w:r>
      <w:r>
        <w:rPr>
          <w:rFonts w:hint="eastAsia" w:ascii="宋体" w:hAnsi="宋体"/>
          <w:szCs w:val="21"/>
        </w:rPr>
        <w:t>收到承包人报送的相关进度计划和施工方案说明后</w:t>
      </w:r>
      <w:r>
        <w:rPr>
          <w:rFonts w:ascii="宋体" w:hAnsi="宋体"/>
          <w:szCs w:val="21"/>
        </w:rPr>
        <w:t>14</w:t>
      </w:r>
      <w:r>
        <w:rPr>
          <w:rFonts w:hint="eastAsia" w:ascii="宋体" w:hAnsi="宋体"/>
          <w:szCs w:val="21"/>
        </w:rPr>
        <w:t>天内</w:t>
      </w:r>
      <w:r>
        <w:rPr>
          <w:rFonts w:hint="eastAsia" w:ascii="宋体" w:hAnsi="宋体"/>
        </w:rPr>
        <w:t>批复或提出修改意见，否则该进度计划视为已得到批准。经监理人批准的施工进度计划称合同进度计划，是控制合同工程进度的依据。</w:t>
      </w:r>
      <w:r>
        <w:rPr>
          <w:rFonts w:hint="eastAsia" w:ascii="宋体" w:hAnsi="宋体"/>
          <w:szCs w:val="21"/>
        </w:rPr>
        <w:t>承包人编制施工进度计划和施工方案说明的内容</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10.1.2  </w:t>
      </w:r>
      <w:r>
        <w:rPr>
          <w:rFonts w:hint="eastAsia" w:ascii="宋体" w:hAnsi="宋体"/>
        </w:rPr>
        <w:t>承包人还应根据合同进度计划，按照第</w:t>
      </w:r>
      <w:r>
        <w:rPr>
          <w:rFonts w:ascii="宋体" w:hAnsi="宋体"/>
        </w:rPr>
        <w:t>10.1.1</w:t>
      </w:r>
      <w:r>
        <w:rPr>
          <w:rFonts w:hint="eastAsia" w:ascii="宋体" w:hAnsi="宋体"/>
        </w:rPr>
        <w:t>项相关约定编制更为详细的分阶段或分项进度计划，报监理人审批。</w:t>
      </w:r>
      <w:r>
        <w:rPr>
          <w:rFonts w:hint="eastAsia" w:ascii="宋体" w:hAnsi="宋体"/>
          <w:szCs w:val="21"/>
        </w:rPr>
        <w:t>承包人编制分阶段或分项施工进度计划和施工方案说明的内容及时限要求</w:t>
      </w:r>
      <w:r>
        <w:rPr>
          <w:rFonts w:hint="eastAsia" w:ascii="黑体" w:hAnsi="黑体" w:eastAsia="黑体"/>
        </w:rPr>
        <w:t>见合同条款专用部分。</w:t>
      </w:r>
    </w:p>
    <w:p>
      <w:pPr>
        <w:spacing w:line="360" w:lineRule="auto"/>
        <w:ind w:firstLine="420" w:firstLineChars="200"/>
        <w:rPr>
          <w:rFonts w:ascii="黑体" w:hAnsi="黑体" w:eastAsia="黑体"/>
        </w:rPr>
      </w:pPr>
      <w:r>
        <w:rPr>
          <w:rFonts w:ascii="宋体" w:hAnsi="宋体"/>
          <w:szCs w:val="21"/>
        </w:rPr>
        <w:t xml:space="preserve">10.1.3  </w:t>
      </w:r>
      <w:r>
        <w:rPr>
          <w:rFonts w:hint="eastAsia" w:ascii="宋体" w:hAnsi="宋体"/>
          <w:szCs w:val="21"/>
        </w:rPr>
        <w:t>群体工程中单位工程分期进行施工的，承包人</w:t>
      </w:r>
      <w:r>
        <w:rPr>
          <w:rFonts w:hint="eastAsia" w:ascii="宋体" w:hAnsi="宋体"/>
        </w:rPr>
        <w:t>应当</w:t>
      </w:r>
      <w:r>
        <w:rPr>
          <w:rFonts w:hint="eastAsia" w:ascii="宋体" w:hAnsi="宋体"/>
          <w:szCs w:val="21"/>
        </w:rPr>
        <w:t>按照发包人提供图纸及有关资料的时间要求，编制单位工程进度计划和施工方案说明。群体工程中有关编制进度计划和施工方案说明的要求</w:t>
      </w:r>
      <w:r>
        <w:rPr>
          <w:rFonts w:hint="eastAsia" w:ascii="黑体" w:hAnsi="黑体" w:eastAsia="黑体"/>
        </w:rPr>
        <w:t>见合同条款专用部分。</w:t>
      </w:r>
    </w:p>
    <w:p>
      <w:pPr>
        <w:pStyle w:val="155"/>
        <w:spacing w:before="120" w:after="120"/>
      </w:pPr>
      <w:bookmarkStart w:id="2300" w:name="_Toc480486972"/>
      <w:bookmarkStart w:id="2301" w:name="_Toc342296332"/>
      <w:bookmarkStart w:id="2302" w:name="_Toc489279929"/>
      <w:bookmarkStart w:id="2303" w:name="_Toc486580118"/>
      <w:bookmarkStart w:id="2304" w:name="_Toc480486800"/>
      <w:bookmarkStart w:id="2305" w:name="_Toc483668147"/>
      <w:bookmarkStart w:id="2306" w:name="_Toc338944774"/>
      <w:bookmarkStart w:id="2307" w:name="_Toc490222563"/>
      <w:bookmarkStart w:id="2308" w:name="_Toc117350484"/>
      <w:r>
        <w:t xml:space="preserve">10.2  </w:t>
      </w:r>
      <w:r>
        <w:rPr>
          <w:rFonts w:hint="eastAsia"/>
        </w:rPr>
        <w:t>合同进度计划的修订</w:t>
      </w:r>
      <w:bookmarkEnd w:id="2300"/>
      <w:bookmarkEnd w:id="2301"/>
      <w:bookmarkEnd w:id="2302"/>
      <w:bookmarkEnd w:id="2303"/>
      <w:bookmarkEnd w:id="2304"/>
      <w:bookmarkEnd w:id="2305"/>
      <w:bookmarkEnd w:id="2306"/>
      <w:bookmarkEnd w:id="2307"/>
      <w:bookmarkEnd w:id="2308"/>
    </w:p>
    <w:p>
      <w:pPr>
        <w:spacing w:line="360" w:lineRule="auto"/>
        <w:ind w:firstLine="420" w:firstLineChars="200"/>
        <w:rPr>
          <w:rFonts w:ascii="宋体"/>
        </w:rPr>
      </w:pPr>
      <w:r>
        <w:rPr>
          <w:rFonts w:ascii="宋体" w:hAnsi="宋体"/>
        </w:rPr>
        <w:t xml:space="preserve">10.2.1  </w:t>
      </w:r>
      <w:r>
        <w:rPr>
          <w:rFonts w:hint="eastAsia" w:ascii="宋体" w:hAnsi="宋体"/>
        </w:rPr>
        <w:t>不论何种原因造成工程的实际进度与第</w:t>
      </w:r>
      <w:r>
        <w:rPr>
          <w:rFonts w:ascii="宋体" w:hAnsi="宋体"/>
        </w:rPr>
        <w:t>10.1</w:t>
      </w:r>
      <w:r>
        <w:rPr>
          <w:rFonts w:hint="eastAsia" w:ascii="宋体" w:hAnsi="宋体"/>
        </w:rPr>
        <w:t>款的合同进度计划不符时，承包人可以在合同条款专用部分约定的期限内向监理人提交修订合同进度计划的申请报告，并附有关措施和相关资料，报监理人审批；</w:t>
      </w:r>
    </w:p>
    <w:p>
      <w:pPr>
        <w:spacing w:line="360" w:lineRule="auto"/>
        <w:ind w:firstLine="420" w:firstLineChars="200"/>
        <w:rPr>
          <w:rFonts w:ascii="宋体" w:hAnsi="宋体"/>
        </w:rPr>
      </w:pPr>
      <w:r>
        <w:rPr>
          <w:rFonts w:ascii="宋体" w:hAnsi="宋体"/>
        </w:rPr>
        <w:t xml:space="preserve">10.2.2  </w:t>
      </w:r>
      <w:r>
        <w:rPr>
          <w:rFonts w:hint="eastAsia" w:ascii="宋体" w:hAnsi="宋体"/>
        </w:rPr>
        <w:t>监理人也可以直接向承包人作出修订合同进度计划的指示，承包人应按该指示修订合同进度计划，报监理人审批。监理人应在合同条款专用部分约定的期限内完成批复。监理人在批复前应获得发包人同意。</w:t>
      </w:r>
    </w:p>
    <w:p>
      <w:pPr>
        <w:spacing w:line="360" w:lineRule="auto"/>
        <w:ind w:firstLine="420" w:firstLineChars="200"/>
        <w:rPr>
          <w:rFonts w:ascii="宋体" w:hAnsi="宋体"/>
        </w:rPr>
      </w:pPr>
      <w:bookmarkStart w:id="2309" w:name="_Hlk114649618"/>
      <w:r>
        <w:rPr>
          <w:rFonts w:hint="eastAsia" w:ascii="宋体" w:hAnsi="宋体"/>
        </w:rPr>
        <w:t>1</w:t>
      </w:r>
      <w:r>
        <w:rPr>
          <w:rFonts w:ascii="宋体" w:hAnsi="宋体"/>
        </w:rPr>
        <w:t>0.2.3</w:t>
      </w:r>
      <w:r>
        <w:rPr>
          <w:rFonts w:hint="eastAsia" w:ascii="宋体" w:hAnsi="宋体"/>
        </w:rPr>
        <w:t>发包人对修订合同进度计划的批准，不影响发包人主张逾期损失赔偿和（或）承包人主张工期顺延的权利。</w:t>
      </w:r>
    </w:p>
    <w:bookmarkEnd w:id="2309"/>
    <w:p>
      <w:pPr>
        <w:pStyle w:val="155"/>
        <w:spacing w:before="120" w:after="120"/>
      </w:pPr>
      <w:bookmarkStart w:id="2310" w:name="_Toc117350485"/>
      <w:bookmarkStart w:id="2311" w:name="_Hlk114649637"/>
      <w:r>
        <w:t xml:space="preserve">10.3  </w:t>
      </w:r>
      <w:bookmarkStart w:id="2312" w:name="_Hlk112684339"/>
      <w:r>
        <w:rPr>
          <w:rFonts w:hint="eastAsia"/>
        </w:rPr>
        <w:t>合同进度计划的其他要求</w:t>
      </w:r>
      <w:bookmarkEnd w:id="2310"/>
      <w:bookmarkEnd w:id="2312"/>
    </w:p>
    <w:p>
      <w:pPr>
        <w:spacing w:line="360" w:lineRule="auto"/>
        <w:ind w:firstLine="420" w:firstLineChars="200"/>
        <w:rPr>
          <w:rFonts w:ascii="宋体" w:hAnsi="宋体"/>
        </w:rPr>
      </w:pPr>
      <w:r>
        <w:rPr>
          <w:rFonts w:ascii="宋体" w:hAnsi="宋体"/>
          <w:szCs w:val="21"/>
        </w:rPr>
        <w:t xml:space="preserve">10.3.1  </w:t>
      </w:r>
      <w:r>
        <w:rPr>
          <w:rFonts w:hint="eastAsia" w:ascii="宋体" w:hAnsi="宋体"/>
        </w:rPr>
        <w:t>经发包人批准的合同进度计划或最新版本合同进度计划的修订是发承包双方调配施工生产资源和实施进度管理的根据。</w:t>
      </w:r>
    </w:p>
    <w:p>
      <w:pPr>
        <w:spacing w:line="360" w:lineRule="auto"/>
        <w:ind w:firstLine="420" w:firstLineChars="200"/>
        <w:rPr>
          <w:rFonts w:ascii="宋体"/>
        </w:rPr>
      </w:pPr>
      <w:r>
        <w:rPr>
          <w:rFonts w:ascii="宋体" w:hAnsi="宋体"/>
          <w:szCs w:val="21"/>
        </w:rPr>
        <w:t xml:space="preserve">10.3.2  </w:t>
      </w:r>
      <w:bookmarkStart w:id="2313" w:name="_Hlk112684475"/>
      <w:bookmarkStart w:id="2314" w:name="_Hlk112684377"/>
      <w:r>
        <w:rPr>
          <w:rFonts w:hint="eastAsia" w:ascii="宋体" w:hAnsi="宋体"/>
          <w:szCs w:val="21"/>
        </w:rPr>
        <w:t>施工进度计划管理的人员配置</w:t>
      </w:r>
      <w:bookmarkEnd w:id="2313"/>
      <w:r>
        <w:rPr>
          <w:rFonts w:hint="eastAsia" w:ascii="宋体" w:hAnsi="宋体"/>
          <w:szCs w:val="21"/>
        </w:rPr>
        <w:t>要求</w:t>
      </w:r>
      <w:bookmarkEnd w:id="2314"/>
      <w:r>
        <w:rPr>
          <w:rFonts w:hint="eastAsia" w:ascii="黑体" w:hAnsi="黑体" w:eastAsia="黑体"/>
        </w:rPr>
        <w:t>见合同条款专用部分。</w:t>
      </w:r>
    </w:p>
    <w:p>
      <w:pPr>
        <w:spacing w:line="360" w:lineRule="auto"/>
        <w:ind w:firstLine="420" w:firstLineChars="200"/>
        <w:rPr>
          <w:rFonts w:ascii="宋体" w:hAnsi="宋体"/>
        </w:rPr>
      </w:pPr>
      <w:r>
        <w:rPr>
          <w:rFonts w:ascii="宋体" w:hAnsi="宋体"/>
          <w:szCs w:val="21"/>
        </w:rPr>
        <w:t xml:space="preserve">10.3.3  </w:t>
      </w:r>
      <w:bookmarkStart w:id="2315" w:name="_Hlk112684387"/>
      <w:r>
        <w:rPr>
          <w:rFonts w:hint="eastAsia" w:ascii="宋体" w:hAnsi="宋体"/>
          <w:szCs w:val="21"/>
        </w:rPr>
        <w:t>施工进度计划的计算机应用软件要求</w:t>
      </w:r>
      <w:bookmarkEnd w:id="2315"/>
      <w:r>
        <w:rPr>
          <w:rFonts w:hint="eastAsia" w:ascii="黑体" w:hAnsi="黑体" w:eastAsia="黑体"/>
        </w:rPr>
        <w:t>见合同条款专用部分。</w:t>
      </w:r>
    </w:p>
    <w:bookmarkEnd w:id="2311"/>
    <w:p>
      <w:pPr>
        <w:pStyle w:val="144"/>
        <w:spacing w:before="120" w:after="120"/>
      </w:pPr>
      <w:bookmarkStart w:id="2316" w:name="_Toc483668148"/>
      <w:bookmarkStart w:id="2317" w:name="_Toc338944775"/>
      <w:bookmarkStart w:id="2318" w:name="_Toc480486801"/>
      <w:bookmarkStart w:id="2319" w:name="_Toc342296333"/>
      <w:bookmarkStart w:id="2320" w:name="_Toc480486973"/>
      <w:bookmarkStart w:id="2321" w:name="_Toc489279930"/>
      <w:bookmarkStart w:id="2322" w:name="_Toc490222564"/>
      <w:bookmarkStart w:id="2323" w:name="_Toc486580119"/>
      <w:bookmarkStart w:id="2324" w:name="_Toc117350486"/>
      <w:r>
        <w:t>11.</w:t>
      </w:r>
      <w:r>
        <w:rPr>
          <w:rFonts w:hint="eastAsia"/>
        </w:rPr>
        <w:t>开工和竣工</w:t>
      </w:r>
      <w:bookmarkEnd w:id="2316"/>
      <w:bookmarkEnd w:id="2317"/>
      <w:bookmarkEnd w:id="2318"/>
      <w:bookmarkEnd w:id="2319"/>
      <w:bookmarkEnd w:id="2320"/>
      <w:bookmarkEnd w:id="2321"/>
      <w:bookmarkEnd w:id="2322"/>
      <w:bookmarkEnd w:id="2323"/>
      <w:bookmarkEnd w:id="2324"/>
    </w:p>
    <w:p>
      <w:pPr>
        <w:pStyle w:val="155"/>
        <w:spacing w:before="120" w:after="120"/>
      </w:pPr>
      <w:bookmarkStart w:id="2325" w:name="_Toc342296334"/>
      <w:bookmarkStart w:id="2326" w:name="_Toc490222565"/>
      <w:bookmarkStart w:id="2327" w:name="_Toc489279931"/>
      <w:bookmarkStart w:id="2328" w:name="_Toc338944776"/>
      <w:bookmarkStart w:id="2329" w:name="_Toc179632701"/>
      <w:bookmarkStart w:id="2330" w:name="_Toc486580120"/>
      <w:bookmarkStart w:id="2331" w:name="_Toc152042461"/>
      <w:bookmarkStart w:id="2332" w:name="_Toc480486974"/>
      <w:bookmarkStart w:id="2333" w:name="_Toc483668149"/>
      <w:bookmarkStart w:id="2334" w:name="_Toc144974651"/>
      <w:bookmarkStart w:id="2335" w:name="_Toc480486802"/>
      <w:bookmarkStart w:id="2336" w:name="_Toc152045683"/>
      <w:bookmarkStart w:id="2337" w:name="_Toc117350487"/>
      <w:r>
        <w:t xml:space="preserve">11.1  </w:t>
      </w:r>
      <w:r>
        <w:rPr>
          <w:rFonts w:hint="eastAsia"/>
        </w:rPr>
        <w:t>开工</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pPr>
        <w:spacing w:line="360" w:lineRule="auto"/>
        <w:ind w:firstLine="420" w:firstLineChars="200"/>
        <w:rPr>
          <w:rFonts w:ascii="宋体"/>
        </w:rPr>
      </w:pPr>
      <w:r>
        <w:rPr>
          <w:rFonts w:ascii="宋体" w:hAnsi="宋体"/>
        </w:rPr>
        <w:t xml:space="preserve">11.1.1  </w:t>
      </w:r>
      <w:r>
        <w:rPr>
          <w:rFonts w:hint="eastAsia" w:ascii="宋体" w:hAnsi="宋体"/>
        </w:rPr>
        <w:t>监理人应在开工日期</w:t>
      </w:r>
      <w:r>
        <w:rPr>
          <w:rFonts w:ascii="宋体" w:hAnsi="宋体"/>
        </w:rPr>
        <w:t>7</w:t>
      </w:r>
      <w:r>
        <w:rPr>
          <w:rFonts w:hint="eastAsia" w:ascii="宋体" w:hAnsi="宋体"/>
        </w:rPr>
        <w:t>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rFonts w:ascii="宋体"/>
        </w:rPr>
      </w:pPr>
      <w:r>
        <w:rPr>
          <w:rFonts w:ascii="宋体" w:hAnsi="宋体"/>
        </w:rPr>
        <w:t xml:space="preserve">11.1.2  </w:t>
      </w:r>
      <w:r>
        <w:rPr>
          <w:rFonts w:hint="eastAsia" w:ascii="宋体" w:hAnsi="宋体"/>
        </w:rPr>
        <w:t>承包人应按第</w:t>
      </w:r>
      <w:r>
        <w:rPr>
          <w:rFonts w:ascii="宋体" w:hAnsi="宋体"/>
        </w:rPr>
        <w:t>10.1</w:t>
      </w:r>
      <w:r>
        <w:rPr>
          <w:rFonts w:hint="eastAsia" w:ascii="宋体" w:hAnsi="宋体"/>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155"/>
        <w:spacing w:before="120" w:after="120"/>
      </w:pPr>
      <w:bookmarkStart w:id="2338" w:name="_Toc152045684"/>
      <w:bookmarkStart w:id="2339" w:name="_Toc480486803"/>
      <w:bookmarkStart w:id="2340" w:name="_Toc342296335"/>
      <w:bookmarkStart w:id="2341" w:name="_Toc338944777"/>
      <w:bookmarkStart w:id="2342" w:name="_Toc144974652"/>
      <w:bookmarkStart w:id="2343" w:name="_Toc480486975"/>
      <w:bookmarkStart w:id="2344" w:name="_Toc483668150"/>
      <w:bookmarkStart w:id="2345" w:name="_Toc489279932"/>
      <w:bookmarkStart w:id="2346" w:name="_Toc486580121"/>
      <w:bookmarkStart w:id="2347" w:name="_Toc179632702"/>
      <w:bookmarkStart w:id="2348" w:name="_Toc152042462"/>
      <w:bookmarkStart w:id="2349" w:name="_Toc490222566"/>
      <w:bookmarkStart w:id="2350" w:name="_Toc117350488"/>
      <w:r>
        <w:t xml:space="preserve">11.2  </w:t>
      </w:r>
      <w:r>
        <w:rPr>
          <w:rFonts w:hint="eastAsia"/>
        </w:rPr>
        <w:t>竣工</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pPr>
        <w:spacing w:line="360" w:lineRule="auto"/>
        <w:ind w:firstLine="420" w:firstLineChars="200"/>
        <w:rPr>
          <w:rFonts w:ascii="宋体"/>
        </w:rPr>
      </w:pPr>
      <w:r>
        <w:rPr>
          <w:rFonts w:hint="eastAsia" w:ascii="宋体" w:hAnsi="宋体"/>
        </w:rPr>
        <w:t>承包人应在第</w:t>
      </w:r>
      <w:r>
        <w:rPr>
          <w:rFonts w:ascii="宋体" w:hAnsi="宋体"/>
        </w:rPr>
        <w:t>1.1.4.3</w:t>
      </w:r>
      <w:r>
        <w:rPr>
          <w:rFonts w:hint="eastAsia" w:ascii="宋体" w:hAnsi="宋体"/>
        </w:rPr>
        <w:t>目约定的期限内完成合同工程。实际竣工日期在接收证书中写明。</w:t>
      </w:r>
    </w:p>
    <w:p>
      <w:pPr>
        <w:pStyle w:val="155"/>
        <w:spacing w:before="120" w:after="120"/>
      </w:pPr>
      <w:bookmarkStart w:id="2351" w:name="_Toc489279933"/>
      <w:bookmarkStart w:id="2352" w:name="_Toc480486976"/>
      <w:bookmarkStart w:id="2353" w:name="_Toc486580122"/>
      <w:bookmarkStart w:id="2354" w:name="_Toc342296336"/>
      <w:bookmarkStart w:id="2355" w:name="_Toc490222567"/>
      <w:bookmarkStart w:id="2356" w:name="_Toc480486804"/>
      <w:bookmarkStart w:id="2357" w:name="_Toc338944778"/>
      <w:bookmarkStart w:id="2358" w:name="_Toc483668151"/>
      <w:bookmarkStart w:id="2359" w:name="_Toc117350489"/>
      <w:r>
        <w:t xml:space="preserve">11.3  </w:t>
      </w:r>
      <w:r>
        <w:rPr>
          <w:rFonts w:hint="eastAsia"/>
        </w:rPr>
        <w:t>发包人的工期延误</w:t>
      </w:r>
      <w:bookmarkEnd w:id="2351"/>
      <w:bookmarkEnd w:id="2352"/>
      <w:bookmarkEnd w:id="2353"/>
      <w:bookmarkEnd w:id="2354"/>
      <w:bookmarkEnd w:id="2355"/>
      <w:bookmarkEnd w:id="2356"/>
      <w:bookmarkEnd w:id="2357"/>
      <w:bookmarkEnd w:id="2358"/>
      <w:bookmarkEnd w:id="2359"/>
    </w:p>
    <w:p>
      <w:pPr>
        <w:spacing w:line="360" w:lineRule="auto"/>
        <w:ind w:firstLine="420" w:firstLineChars="200"/>
        <w:rPr>
          <w:rFonts w:ascii="宋体"/>
        </w:rPr>
      </w:pPr>
      <w:r>
        <w:rPr>
          <w:rFonts w:hint="eastAsia" w:ascii="宋体" w:hAnsi="宋体"/>
        </w:rPr>
        <w:t>在履行合同过程中，由于发包人的下列原因造成承包人关键线路工期延误的，承包人有权要求发包人延长工期和（或）增加费用，并支付合理利润。需要修订合同进度计划的，按照第</w:t>
      </w:r>
      <w:r>
        <w:rPr>
          <w:rFonts w:ascii="宋体" w:hAnsi="宋体"/>
        </w:rPr>
        <w:t>10.2</w:t>
      </w:r>
      <w:r>
        <w:rPr>
          <w:rFonts w:hint="eastAsia" w:ascii="宋体" w:hAnsi="宋体"/>
        </w:rPr>
        <w:t>款的约定办理。</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）增加合同工作内容；</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）改变合同中任何一项工作的质量要求或其他特性；</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）发包人迟延提供材料、工程设备或变更交货地点的；</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）因发包人原因导致的暂停施工；</w:t>
      </w:r>
    </w:p>
    <w:p>
      <w:pPr>
        <w:spacing w:line="360" w:lineRule="auto"/>
        <w:ind w:firstLine="315" w:firstLineChars="150"/>
        <w:rPr>
          <w:rFonts w:ascii="宋体"/>
        </w:rPr>
      </w:pPr>
      <w:r>
        <w:rPr>
          <w:rFonts w:hint="eastAsia" w:ascii="宋体" w:hAnsi="宋体"/>
        </w:rPr>
        <w:t>（</w:t>
      </w:r>
      <w:r>
        <w:rPr>
          <w:rFonts w:ascii="宋体" w:hAnsi="宋体"/>
        </w:rPr>
        <w:t>5</w:t>
      </w:r>
      <w:r>
        <w:rPr>
          <w:rFonts w:hint="eastAsia" w:ascii="宋体" w:hAnsi="宋体"/>
        </w:rPr>
        <w:t>）提供图纸延误；</w:t>
      </w:r>
    </w:p>
    <w:p>
      <w:pPr>
        <w:spacing w:line="360" w:lineRule="auto"/>
        <w:ind w:firstLine="315" w:firstLineChars="150"/>
        <w:rPr>
          <w:rFonts w:ascii="宋体"/>
        </w:rPr>
      </w:pPr>
      <w:r>
        <w:rPr>
          <w:rFonts w:hint="eastAsia" w:ascii="宋体" w:hAnsi="宋体"/>
        </w:rPr>
        <w:t>（</w:t>
      </w:r>
      <w:r>
        <w:rPr>
          <w:rFonts w:ascii="宋体" w:hAnsi="宋体"/>
        </w:rPr>
        <w:t>6</w:t>
      </w:r>
      <w:r>
        <w:rPr>
          <w:rFonts w:hint="eastAsia" w:ascii="宋体" w:hAnsi="宋体"/>
        </w:rPr>
        <w:t>）未按合同约定及时支付预付款、进度款；</w:t>
      </w:r>
    </w:p>
    <w:p>
      <w:pPr>
        <w:spacing w:line="360" w:lineRule="auto"/>
        <w:ind w:firstLine="315" w:firstLineChars="150"/>
        <w:rPr>
          <w:rFonts w:ascii="宋体" w:hAnsi="宋体"/>
          <w:szCs w:val="21"/>
        </w:rPr>
      </w:pPr>
      <w:r>
        <w:rPr>
          <w:rFonts w:hint="eastAsia" w:ascii="宋体" w:hAnsi="宋体"/>
        </w:rPr>
        <w:t>（</w:t>
      </w:r>
      <w:r>
        <w:rPr>
          <w:rFonts w:ascii="宋体" w:hAnsi="宋体"/>
        </w:rPr>
        <w:t>7</w:t>
      </w:r>
      <w:r>
        <w:rPr>
          <w:rFonts w:hint="eastAsia" w:ascii="宋体" w:hAnsi="宋体"/>
        </w:rPr>
        <w:t>）</w:t>
      </w:r>
      <w:r>
        <w:rPr>
          <w:rFonts w:hint="eastAsia" w:ascii="宋体" w:hAnsi="宋体"/>
          <w:szCs w:val="21"/>
        </w:rPr>
        <w:t>因发包人原因不能按照监理人发出的开工通知中载明的开工日期开工；</w:t>
      </w:r>
    </w:p>
    <w:p>
      <w:pPr>
        <w:spacing w:line="360" w:lineRule="auto"/>
        <w:ind w:firstLine="315" w:firstLineChars="150"/>
        <w:rPr>
          <w:rFonts w:ascii="宋体"/>
        </w:rPr>
      </w:pPr>
      <w:r>
        <w:rPr>
          <w:rFonts w:hint="eastAsia" w:ascii="宋体" w:hAnsi="宋体"/>
        </w:rPr>
        <w:t>（</w:t>
      </w:r>
      <w:r>
        <w:rPr>
          <w:rFonts w:ascii="宋体" w:hAnsi="宋体"/>
        </w:rPr>
        <w:t>8</w:t>
      </w:r>
      <w:r>
        <w:rPr>
          <w:rFonts w:hint="eastAsia" w:ascii="宋体" w:hAnsi="宋体"/>
        </w:rPr>
        <w:t>）发包人造成工期延误的其他原因</w:t>
      </w:r>
      <w:r>
        <w:rPr>
          <w:rFonts w:hint="eastAsia" w:ascii="黑体" w:hAnsi="黑体" w:eastAsia="黑体"/>
        </w:rPr>
        <w:t>见合同条款专用部分。</w:t>
      </w:r>
    </w:p>
    <w:p>
      <w:pPr>
        <w:pStyle w:val="155"/>
        <w:spacing w:before="120" w:after="120"/>
      </w:pPr>
      <w:bookmarkStart w:id="2360" w:name="_Toc489279934"/>
      <w:bookmarkStart w:id="2361" w:name="_Toc490222568"/>
      <w:bookmarkStart w:id="2362" w:name="_Toc483668152"/>
      <w:bookmarkStart w:id="2363" w:name="_Toc480486805"/>
      <w:bookmarkStart w:id="2364" w:name="_Toc480486977"/>
      <w:bookmarkStart w:id="2365" w:name="_Toc338944779"/>
      <w:bookmarkStart w:id="2366" w:name="_Toc342296337"/>
      <w:bookmarkStart w:id="2367" w:name="_Toc486580123"/>
      <w:bookmarkStart w:id="2368" w:name="_Toc117350490"/>
      <w:r>
        <w:t xml:space="preserve">11.4  </w:t>
      </w:r>
      <w:r>
        <w:rPr>
          <w:rFonts w:hint="eastAsia"/>
        </w:rPr>
        <w:t>异常恶劣的气候条件</w:t>
      </w:r>
      <w:bookmarkEnd w:id="2360"/>
      <w:bookmarkEnd w:id="2361"/>
      <w:bookmarkEnd w:id="2362"/>
      <w:bookmarkEnd w:id="2363"/>
      <w:bookmarkEnd w:id="2364"/>
      <w:bookmarkEnd w:id="2365"/>
      <w:bookmarkEnd w:id="2366"/>
      <w:bookmarkEnd w:id="2367"/>
      <w:bookmarkEnd w:id="2368"/>
    </w:p>
    <w:p>
      <w:pPr>
        <w:spacing w:line="360" w:lineRule="auto"/>
        <w:ind w:firstLine="420" w:firstLineChars="200"/>
        <w:rPr>
          <w:rFonts w:ascii="黑体" w:hAnsi="黑体" w:eastAsia="黑体"/>
        </w:rPr>
      </w:pPr>
      <w:r>
        <w:rPr>
          <w:rFonts w:hint="eastAsia" w:ascii="宋体" w:hAnsi="宋体"/>
        </w:rPr>
        <w:t>由于出现异常恶劣气候的条件导致工期延误的，承包人有权要求发包人延长工期。</w:t>
      </w:r>
      <w:r>
        <w:rPr>
          <w:rFonts w:hint="eastAsia" w:ascii="宋体" w:hAnsi="宋体"/>
          <w:szCs w:val="21"/>
        </w:rPr>
        <w:t>异常恶劣的气候条件的范围和标准</w:t>
      </w:r>
      <w:r>
        <w:rPr>
          <w:rFonts w:hint="eastAsia" w:ascii="黑体" w:hAnsi="黑体" w:eastAsia="黑体"/>
        </w:rPr>
        <w:t>见合同条款专用部分。</w:t>
      </w:r>
    </w:p>
    <w:p>
      <w:pPr>
        <w:pStyle w:val="155"/>
        <w:spacing w:before="120" w:after="120"/>
      </w:pPr>
      <w:bookmarkStart w:id="2369" w:name="_Toc480486806"/>
      <w:bookmarkStart w:id="2370" w:name="_Toc338944780"/>
      <w:bookmarkStart w:id="2371" w:name="_Toc486580124"/>
      <w:bookmarkStart w:id="2372" w:name="_Toc489279935"/>
      <w:bookmarkStart w:id="2373" w:name="_Toc342296338"/>
      <w:bookmarkStart w:id="2374" w:name="_Toc480486978"/>
      <w:bookmarkStart w:id="2375" w:name="_Toc490222569"/>
      <w:bookmarkStart w:id="2376" w:name="_Toc483668153"/>
      <w:bookmarkStart w:id="2377" w:name="_Toc117350491"/>
      <w:r>
        <w:t xml:space="preserve">11.5  </w:t>
      </w:r>
      <w:r>
        <w:rPr>
          <w:rFonts w:hint="eastAsia"/>
        </w:rPr>
        <w:t>承包人的工期延误</w:t>
      </w:r>
      <w:bookmarkEnd w:id="2369"/>
      <w:bookmarkEnd w:id="2370"/>
      <w:bookmarkEnd w:id="2371"/>
      <w:bookmarkEnd w:id="2372"/>
      <w:bookmarkEnd w:id="2373"/>
      <w:bookmarkEnd w:id="2374"/>
      <w:bookmarkEnd w:id="2375"/>
      <w:bookmarkEnd w:id="2376"/>
      <w:bookmarkEnd w:id="2377"/>
    </w:p>
    <w:p>
      <w:pPr>
        <w:spacing w:line="360" w:lineRule="auto"/>
        <w:ind w:firstLine="420" w:firstLineChars="200"/>
        <w:rPr>
          <w:rFonts w:ascii="宋体"/>
        </w:rPr>
      </w:pPr>
      <w:r>
        <w:rPr>
          <w:rFonts w:ascii="宋体" w:hAnsi="宋体"/>
          <w:szCs w:val="21"/>
        </w:rPr>
        <w:t xml:space="preserve">11.5.1  </w:t>
      </w:r>
      <w:r>
        <w:rPr>
          <w:rFonts w:hint="eastAsia" w:ascii="宋体" w:hAnsi="宋体"/>
        </w:rPr>
        <w:t>由于承包人原因，未能按合同进度计划完成工作，或监理人认为承包人施工进度不能满足合同工期要求的，承包人应</w:t>
      </w:r>
      <w:bookmarkStart w:id="2378" w:name="_Hlk114649740"/>
      <w:r>
        <w:rPr>
          <w:rFonts w:hint="eastAsia" w:ascii="宋体" w:hAnsi="宋体"/>
        </w:rPr>
        <w:t>在不影响工程安全和质量的前提下</w:t>
      </w:r>
      <w:bookmarkEnd w:id="2378"/>
      <w:r>
        <w:rPr>
          <w:rFonts w:hint="eastAsia" w:ascii="宋体" w:hAnsi="宋体"/>
        </w:rPr>
        <w:t>采取</w:t>
      </w:r>
      <w:bookmarkStart w:id="2379" w:name="_Hlk114649750"/>
      <w:r>
        <w:rPr>
          <w:rFonts w:hint="eastAsia" w:ascii="宋体" w:hAnsi="宋体"/>
        </w:rPr>
        <w:t>必要的赶工</w:t>
      </w:r>
      <w:bookmarkEnd w:id="2379"/>
      <w:r>
        <w:rPr>
          <w:rFonts w:hint="eastAsia" w:ascii="宋体" w:hAnsi="宋体"/>
        </w:rPr>
        <w:t>措施加快进度，并承担加快进度所增加的费用。</w:t>
      </w:r>
    </w:p>
    <w:p>
      <w:pPr>
        <w:spacing w:line="360" w:lineRule="auto"/>
        <w:ind w:firstLine="420" w:firstLineChars="200"/>
        <w:rPr>
          <w:rFonts w:ascii="宋体"/>
          <w:szCs w:val="21"/>
        </w:rPr>
      </w:pPr>
      <w:r>
        <w:rPr>
          <w:rFonts w:ascii="宋体" w:hAnsi="宋体"/>
          <w:szCs w:val="21"/>
        </w:rPr>
        <w:t xml:space="preserve">11.5.2  </w:t>
      </w:r>
      <w:r>
        <w:rPr>
          <w:rFonts w:hint="eastAsia" w:ascii="宋体" w:hAnsi="宋体"/>
          <w:szCs w:val="21"/>
        </w:rPr>
        <w:t>由于承包人原因造成不能按期竣工的，按照合同约定的竣工日期（包括按合同工期延长）后</w:t>
      </w:r>
      <w:r>
        <w:rPr>
          <w:rFonts w:ascii="宋体" w:hAnsi="宋体"/>
          <w:szCs w:val="21"/>
        </w:rPr>
        <w:t>7</w:t>
      </w:r>
      <w:r>
        <w:rPr>
          <w:rFonts w:hint="eastAsia" w:ascii="宋体" w:hAnsi="宋体"/>
          <w:szCs w:val="21"/>
        </w:rPr>
        <w:t>天内，监理人应当按第</w:t>
      </w:r>
      <w:r>
        <w:rPr>
          <w:rFonts w:ascii="宋体" w:hAnsi="宋体"/>
          <w:szCs w:val="21"/>
        </w:rPr>
        <w:t>23.4.1</w:t>
      </w:r>
      <w:r>
        <w:rPr>
          <w:rFonts w:hint="eastAsia" w:ascii="宋体" w:hAnsi="宋体"/>
          <w:szCs w:val="21"/>
        </w:rPr>
        <w:t>项的约定书面通知承包人</w:t>
      </w:r>
      <w:r>
        <w:rPr>
          <w:rFonts w:ascii="宋体"/>
          <w:szCs w:val="21"/>
        </w:rPr>
        <w:t>,</w:t>
      </w:r>
      <w:r>
        <w:rPr>
          <w:rFonts w:hint="eastAsia" w:ascii="宋体" w:hAnsi="宋体"/>
          <w:szCs w:val="21"/>
        </w:rPr>
        <w:t>说明发包人有权得到逾期竣工违约金，逾期竣工违约金计算标准和计算方法</w:t>
      </w:r>
      <w:r>
        <w:rPr>
          <w:rFonts w:hint="eastAsia" w:ascii="黑体" w:hAnsi="黑体" w:eastAsia="黑体"/>
        </w:rPr>
        <w:t>见合同条款专用部分。</w:t>
      </w:r>
      <w:r>
        <w:rPr>
          <w:rFonts w:hint="eastAsia" w:ascii="宋体" w:hAnsi="宋体"/>
          <w:szCs w:val="21"/>
        </w:rPr>
        <w:t>但最终逾期竣工违约金的金额不应超过合同约定的逾期竣工违约金最高限额。逾期竣工违约金最高限额</w:t>
      </w:r>
      <w:r>
        <w:rPr>
          <w:rFonts w:hint="eastAsia" w:ascii="黑体" w:hAnsi="黑体" w:eastAsia="黑体"/>
        </w:rPr>
        <w:t>见合同条款专用部分</w:t>
      </w:r>
      <w:r>
        <w:rPr>
          <w:rFonts w:hint="eastAsia" w:ascii="黑体" w:hAnsi="黑体" w:eastAsia="黑体"/>
          <w:szCs w:val="21"/>
        </w:rPr>
        <w:t>。</w:t>
      </w:r>
    </w:p>
    <w:p>
      <w:pPr>
        <w:spacing w:line="360" w:lineRule="auto"/>
        <w:ind w:firstLine="420" w:firstLineChars="200"/>
        <w:rPr>
          <w:rFonts w:ascii="宋体"/>
          <w:szCs w:val="21"/>
        </w:rPr>
      </w:pPr>
      <w:r>
        <w:rPr>
          <w:rFonts w:hint="eastAsia" w:ascii="宋体" w:hAnsi="宋体"/>
          <w:szCs w:val="21"/>
        </w:rPr>
        <w:t>监理人未在规定的期限内发出本款约定的书面通知的，发包人丧失主张逾期竣工违约金的权利。</w:t>
      </w:r>
    </w:p>
    <w:p>
      <w:pPr>
        <w:spacing w:line="360" w:lineRule="auto"/>
        <w:ind w:firstLine="420" w:firstLineChars="200"/>
        <w:rPr>
          <w:rFonts w:ascii="宋体" w:hAnsi="宋体"/>
        </w:rPr>
      </w:pPr>
      <w:r>
        <w:rPr>
          <w:rFonts w:ascii="宋体" w:hAnsi="宋体"/>
          <w:szCs w:val="21"/>
        </w:rPr>
        <w:t xml:space="preserve">11.5.3  </w:t>
      </w:r>
      <w:r>
        <w:rPr>
          <w:rFonts w:hint="eastAsia" w:ascii="宋体" w:hAnsi="宋体"/>
        </w:rPr>
        <w:t>承包人支付逾期竣工违约金，不免除承包人完成工程及修补缺陷的义务。</w:t>
      </w:r>
    </w:p>
    <w:p>
      <w:pPr>
        <w:pStyle w:val="155"/>
        <w:spacing w:before="120" w:after="120"/>
      </w:pPr>
      <w:bookmarkStart w:id="2380" w:name="_Toc117350492"/>
      <w:bookmarkStart w:id="2381" w:name="_Hlk114649770"/>
      <w:r>
        <w:t xml:space="preserve">11.6  </w:t>
      </w:r>
      <w:r>
        <w:rPr>
          <w:rFonts w:hint="eastAsia"/>
        </w:rPr>
        <w:t>发承包双方原因导致的工期延误</w:t>
      </w:r>
      <w:bookmarkEnd w:id="2380"/>
    </w:p>
    <w:p>
      <w:pPr>
        <w:spacing w:line="360" w:lineRule="auto"/>
        <w:ind w:firstLine="420" w:firstLineChars="200"/>
        <w:rPr>
          <w:rFonts w:ascii="宋体"/>
        </w:rPr>
      </w:pPr>
      <w:r>
        <w:rPr>
          <w:rFonts w:hint="eastAsia" w:ascii="宋体" w:hAnsi="宋体"/>
        </w:rPr>
        <w:t>在履行合同过程中，由于发承包双方的原因造成承包人关键线路工期延误</w:t>
      </w:r>
      <w:r>
        <w:rPr>
          <w:rFonts w:hint="eastAsia" w:ascii="宋体" w:hAnsi="宋体"/>
          <w:szCs w:val="21"/>
        </w:rPr>
        <w:t>或窝工降效的</w:t>
      </w:r>
      <w:r>
        <w:rPr>
          <w:rFonts w:hint="eastAsia" w:ascii="宋体" w:hAnsi="宋体"/>
        </w:rPr>
        <w:t>，</w:t>
      </w:r>
      <w:r>
        <w:rPr>
          <w:rFonts w:ascii="宋体" w:hAnsi="宋体"/>
          <w:szCs w:val="21"/>
        </w:rPr>
        <w:t>承</w:t>
      </w:r>
      <w:r>
        <w:rPr>
          <w:rFonts w:hint="eastAsia" w:ascii="宋体" w:hAnsi="宋体"/>
          <w:szCs w:val="21"/>
        </w:rPr>
        <w:t>包</w:t>
      </w:r>
      <w:r>
        <w:rPr>
          <w:rFonts w:ascii="宋体" w:hAnsi="宋体"/>
          <w:szCs w:val="21"/>
        </w:rPr>
        <w:t>人</w:t>
      </w:r>
      <w:r>
        <w:rPr>
          <w:rFonts w:hint="eastAsia" w:ascii="宋体" w:hAnsi="宋体"/>
          <w:szCs w:val="21"/>
        </w:rPr>
        <w:t>可根据实际影响情况</w:t>
      </w:r>
      <w:r>
        <w:rPr>
          <w:rFonts w:ascii="宋体" w:hAnsi="宋体"/>
          <w:szCs w:val="21"/>
        </w:rPr>
        <w:t>并按照合同约定期限提出工期顺延</w:t>
      </w:r>
      <w:r>
        <w:rPr>
          <w:rFonts w:hint="eastAsia" w:ascii="宋体" w:hAnsi="宋体"/>
          <w:szCs w:val="21"/>
        </w:rPr>
        <w:t>和（或）费用损失申请</w:t>
      </w:r>
      <w:r>
        <w:rPr>
          <w:rFonts w:ascii="宋体" w:hAnsi="宋体"/>
          <w:szCs w:val="21"/>
        </w:rPr>
        <w:t>，发包人应当在合同约定的期限内及时处理</w:t>
      </w:r>
      <w:r>
        <w:rPr>
          <w:rFonts w:hint="eastAsia" w:ascii="宋体" w:hAnsi="宋体"/>
          <w:szCs w:val="21"/>
        </w:rPr>
        <w:t>，并</w:t>
      </w:r>
      <w:r>
        <w:rPr>
          <w:rFonts w:ascii="宋体" w:hAnsi="宋体"/>
          <w:szCs w:val="21"/>
        </w:rPr>
        <w:t>按</w:t>
      </w:r>
      <w:r>
        <w:rPr>
          <w:rFonts w:hint="eastAsia" w:ascii="宋体" w:hAnsi="宋体"/>
          <w:szCs w:val="21"/>
        </w:rPr>
        <w:t>过错</w:t>
      </w:r>
      <w:r>
        <w:rPr>
          <w:rFonts w:ascii="宋体" w:hAnsi="宋体"/>
          <w:szCs w:val="21"/>
        </w:rPr>
        <w:t>责任分担</w:t>
      </w:r>
      <w:r>
        <w:rPr>
          <w:rFonts w:hint="eastAsia" w:ascii="宋体" w:hAnsi="宋体"/>
          <w:szCs w:val="21"/>
        </w:rPr>
        <w:t>工期</w:t>
      </w:r>
      <w:r>
        <w:rPr>
          <w:rFonts w:ascii="宋体" w:hAnsi="宋体"/>
          <w:szCs w:val="21"/>
        </w:rPr>
        <w:t>和</w:t>
      </w:r>
      <w:r>
        <w:rPr>
          <w:rFonts w:hint="eastAsia" w:ascii="宋体" w:hAnsi="宋体"/>
          <w:szCs w:val="21"/>
        </w:rPr>
        <w:t>（或）费用损失；责任</w:t>
      </w:r>
      <w:r>
        <w:rPr>
          <w:rFonts w:ascii="宋体" w:hAnsi="宋体"/>
          <w:szCs w:val="21"/>
        </w:rPr>
        <w:t>划分不清的，以主导原因为主</w:t>
      </w:r>
      <w:r>
        <w:rPr>
          <w:rFonts w:hint="eastAsia" w:ascii="宋体" w:hAnsi="宋体"/>
          <w:szCs w:val="21"/>
        </w:rPr>
        <w:t>承担工期</w:t>
      </w:r>
      <w:r>
        <w:rPr>
          <w:rFonts w:ascii="宋体" w:hAnsi="宋体"/>
          <w:szCs w:val="21"/>
        </w:rPr>
        <w:t>和</w:t>
      </w:r>
      <w:r>
        <w:rPr>
          <w:rFonts w:hint="eastAsia" w:ascii="宋体" w:hAnsi="宋体"/>
          <w:szCs w:val="21"/>
        </w:rPr>
        <w:t>（或）费用损失。</w:t>
      </w:r>
      <w:r>
        <w:rPr>
          <w:rFonts w:hint="eastAsia" w:ascii="宋体" w:hAnsi="宋体"/>
        </w:rPr>
        <w:t>需要修订合同进度计划的，按照第</w:t>
      </w:r>
      <w:r>
        <w:rPr>
          <w:rFonts w:ascii="宋体" w:hAnsi="宋体"/>
        </w:rPr>
        <w:t>10.2</w:t>
      </w:r>
      <w:r>
        <w:rPr>
          <w:rFonts w:hint="eastAsia" w:ascii="宋体" w:hAnsi="宋体"/>
        </w:rPr>
        <w:t>款的约定办理。发承包双方导致工期延误的原因</w:t>
      </w:r>
      <w:r>
        <w:rPr>
          <w:rFonts w:hint="eastAsia" w:ascii="黑体" w:hAnsi="黑体" w:eastAsia="黑体"/>
        </w:rPr>
        <w:t>见合同条款专用部分。</w:t>
      </w:r>
    </w:p>
    <w:p>
      <w:pPr>
        <w:pStyle w:val="155"/>
        <w:spacing w:before="120" w:after="120"/>
      </w:pPr>
      <w:bookmarkStart w:id="2382" w:name="_Toc117350493"/>
      <w:r>
        <w:t xml:space="preserve">11.7  </w:t>
      </w:r>
      <w:r>
        <w:rPr>
          <w:rFonts w:hint="eastAsia"/>
        </w:rPr>
        <w:t>非发承包双方原因导致的工期延误</w:t>
      </w:r>
      <w:bookmarkEnd w:id="2382"/>
    </w:p>
    <w:p>
      <w:pPr>
        <w:spacing w:line="360" w:lineRule="auto"/>
        <w:ind w:firstLine="420" w:firstLineChars="200"/>
        <w:rPr>
          <w:rFonts w:ascii="宋体"/>
        </w:rPr>
      </w:pPr>
      <w:r>
        <w:rPr>
          <w:rFonts w:hint="eastAsia" w:ascii="宋体" w:hAnsi="宋体"/>
        </w:rPr>
        <w:t>在履行合同过程中，由于非发承包双方的原因造成承包人关键线路工期延误</w:t>
      </w:r>
      <w:r>
        <w:rPr>
          <w:rFonts w:hint="eastAsia" w:ascii="宋体" w:hAnsi="宋体"/>
          <w:szCs w:val="21"/>
        </w:rPr>
        <w:t>或窝工降效的</w:t>
      </w:r>
      <w:r>
        <w:rPr>
          <w:rFonts w:hint="eastAsia" w:ascii="宋体" w:hAnsi="宋体"/>
        </w:rPr>
        <w:t>，</w:t>
      </w:r>
      <w:r>
        <w:rPr>
          <w:rFonts w:ascii="宋体" w:hAnsi="宋体"/>
          <w:szCs w:val="21"/>
        </w:rPr>
        <w:t>承</w:t>
      </w:r>
      <w:r>
        <w:rPr>
          <w:rFonts w:hint="eastAsia" w:ascii="宋体" w:hAnsi="宋体"/>
          <w:szCs w:val="21"/>
        </w:rPr>
        <w:t>包</w:t>
      </w:r>
      <w:r>
        <w:rPr>
          <w:rFonts w:ascii="宋体" w:hAnsi="宋体"/>
          <w:szCs w:val="21"/>
        </w:rPr>
        <w:t>人</w:t>
      </w:r>
      <w:r>
        <w:rPr>
          <w:rFonts w:hint="eastAsia" w:ascii="宋体" w:hAnsi="宋体"/>
          <w:szCs w:val="21"/>
        </w:rPr>
        <w:t>可根据实际影响情况</w:t>
      </w:r>
      <w:r>
        <w:rPr>
          <w:rFonts w:ascii="宋体" w:hAnsi="宋体"/>
          <w:szCs w:val="21"/>
        </w:rPr>
        <w:t>并按照合同约定期限提出工期顺延</w:t>
      </w:r>
      <w:r>
        <w:rPr>
          <w:rFonts w:hint="eastAsia" w:ascii="宋体" w:hAnsi="宋体"/>
          <w:szCs w:val="21"/>
        </w:rPr>
        <w:t>和（或）费用损失申请</w:t>
      </w:r>
      <w:r>
        <w:rPr>
          <w:rFonts w:ascii="宋体" w:hAnsi="宋体"/>
          <w:szCs w:val="21"/>
        </w:rPr>
        <w:t>，发包人应当在合同约定的期限内及时处理</w:t>
      </w:r>
      <w:r>
        <w:rPr>
          <w:rFonts w:hint="eastAsia" w:ascii="宋体" w:hAnsi="宋体"/>
          <w:szCs w:val="21"/>
        </w:rPr>
        <w:t>，给予顺延工期，发承包双方应根据公平原则分担费用损失。</w:t>
      </w:r>
      <w:r>
        <w:rPr>
          <w:rFonts w:hint="eastAsia" w:ascii="宋体" w:hAnsi="宋体"/>
        </w:rPr>
        <w:t>需要修订合同进度计划的，按照第</w:t>
      </w:r>
      <w:r>
        <w:rPr>
          <w:rFonts w:ascii="宋体" w:hAnsi="宋体"/>
        </w:rPr>
        <w:t>10.2</w:t>
      </w:r>
      <w:r>
        <w:rPr>
          <w:rFonts w:hint="eastAsia" w:ascii="宋体" w:hAnsi="宋体"/>
        </w:rPr>
        <w:t>款的约定办理。非发承包双方导致工期延误的原因</w:t>
      </w:r>
      <w:r>
        <w:rPr>
          <w:rFonts w:hint="eastAsia" w:ascii="黑体" w:hAnsi="黑体" w:eastAsia="黑体"/>
        </w:rPr>
        <w:t>见合同条款专用部分。</w:t>
      </w:r>
    </w:p>
    <w:bookmarkEnd w:id="2381"/>
    <w:p>
      <w:pPr>
        <w:pStyle w:val="155"/>
        <w:spacing w:before="120" w:after="120"/>
      </w:pPr>
      <w:bookmarkStart w:id="2383" w:name="_Toc342296339"/>
      <w:bookmarkStart w:id="2384" w:name="_Toc480486979"/>
      <w:bookmarkStart w:id="2385" w:name="_Toc489279936"/>
      <w:bookmarkStart w:id="2386" w:name="_Toc486580125"/>
      <w:bookmarkStart w:id="2387" w:name="_Toc483668154"/>
      <w:bookmarkStart w:id="2388" w:name="_Toc480486807"/>
      <w:bookmarkStart w:id="2389" w:name="_Toc338944781"/>
      <w:bookmarkStart w:id="2390" w:name="_Toc490222570"/>
      <w:bookmarkStart w:id="2391" w:name="_Toc117350494"/>
      <w:r>
        <w:t xml:space="preserve">11.8  </w:t>
      </w:r>
      <w:r>
        <w:rPr>
          <w:rFonts w:hint="eastAsia"/>
        </w:rPr>
        <w:t>工期提前</w:t>
      </w:r>
      <w:bookmarkEnd w:id="2383"/>
      <w:bookmarkEnd w:id="2384"/>
      <w:bookmarkEnd w:id="2385"/>
      <w:bookmarkEnd w:id="2386"/>
      <w:bookmarkEnd w:id="2387"/>
      <w:bookmarkEnd w:id="2388"/>
      <w:bookmarkEnd w:id="2389"/>
      <w:bookmarkEnd w:id="2390"/>
      <w:bookmarkEnd w:id="2391"/>
    </w:p>
    <w:p>
      <w:pPr>
        <w:spacing w:line="360" w:lineRule="auto"/>
        <w:ind w:firstLine="420" w:firstLineChars="200"/>
        <w:rPr>
          <w:rFonts w:ascii="宋体"/>
        </w:rPr>
      </w:pPr>
      <w:r>
        <w:rPr>
          <w:rFonts w:hint="eastAsia" w:ascii="宋体" w:hAnsi="宋体"/>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相应的奖金。</w:t>
      </w:r>
      <w:r>
        <w:rPr>
          <w:rFonts w:hint="eastAsia" w:ascii="宋体" w:hAnsi="宋体"/>
          <w:szCs w:val="21"/>
        </w:rPr>
        <w:t>提前竣工的奖励办法</w:t>
      </w:r>
      <w:r>
        <w:rPr>
          <w:rFonts w:hint="eastAsia" w:ascii="黑体" w:hAnsi="黑体" w:eastAsia="黑体"/>
        </w:rPr>
        <w:t>见合同条款专用部分。</w:t>
      </w:r>
    </w:p>
    <w:p>
      <w:pPr>
        <w:pStyle w:val="144"/>
        <w:spacing w:before="120" w:after="120"/>
      </w:pPr>
      <w:bookmarkStart w:id="2392" w:name="_Toc480486808"/>
      <w:bookmarkStart w:id="2393" w:name="_Toc338944782"/>
      <w:bookmarkStart w:id="2394" w:name="_Toc486580126"/>
      <w:bookmarkStart w:id="2395" w:name="_Toc483668155"/>
      <w:bookmarkStart w:id="2396" w:name="_Toc489279937"/>
      <w:bookmarkStart w:id="2397" w:name="_Toc480486980"/>
      <w:bookmarkStart w:id="2398" w:name="_Toc342296340"/>
      <w:bookmarkStart w:id="2399" w:name="_Toc490222571"/>
      <w:bookmarkStart w:id="2400" w:name="_Toc117350495"/>
      <w:r>
        <w:t>12.</w:t>
      </w:r>
      <w:r>
        <w:rPr>
          <w:rFonts w:hint="eastAsia"/>
        </w:rPr>
        <w:t>暂停施工</w:t>
      </w:r>
      <w:bookmarkEnd w:id="2392"/>
      <w:bookmarkEnd w:id="2393"/>
      <w:bookmarkEnd w:id="2394"/>
      <w:bookmarkEnd w:id="2395"/>
      <w:bookmarkEnd w:id="2396"/>
      <w:bookmarkEnd w:id="2397"/>
      <w:bookmarkEnd w:id="2398"/>
      <w:bookmarkEnd w:id="2399"/>
      <w:bookmarkEnd w:id="2400"/>
    </w:p>
    <w:p>
      <w:pPr>
        <w:pStyle w:val="155"/>
        <w:spacing w:before="120" w:after="120"/>
      </w:pPr>
      <w:bookmarkStart w:id="2401" w:name="_Toc338944783"/>
      <w:bookmarkStart w:id="2402" w:name="_Toc486580127"/>
      <w:bookmarkStart w:id="2403" w:name="_Toc342296341"/>
      <w:bookmarkStart w:id="2404" w:name="_Toc483668156"/>
      <w:bookmarkStart w:id="2405" w:name="_Toc490222572"/>
      <w:bookmarkStart w:id="2406" w:name="_Toc480486981"/>
      <w:bookmarkStart w:id="2407" w:name="_Toc489279938"/>
      <w:bookmarkStart w:id="2408" w:name="_Toc480486809"/>
      <w:bookmarkStart w:id="2409" w:name="_Toc117350496"/>
      <w:r>
        <w:t xml:space="preserve">12.1  </w:t>
      </w:r>
      <w:r>
        <w:rPr>
          <w:rFonts w:hint="eastAsia"/>
        </w:rPr>
        <w:t>承包人暂停施工的责任</w:t>
      </w:r>
      <w:bookmarkEnd w:id="2401"/>
      <w:bookmarkEnd w:id="2402"/>
      <w:bookmarkEnd w:id="2403"/>
      <w:bookmarkEnd w:id="2404"/>
      <w:bookmarkEnd w:id="2405"/>
      <w:bookmarkEnd w:id="2406"/>
      <w:bookmarkEnd w:id="2407"/>
      <w:bookmarkEnd w:id="2408"/>
      <w:bookmarkEnd w:id="2409"/>
    </w:p>
    <w:p>
      <w:pPr>
        <w:spacing w:line="360" w:lineRule="auto"/>
        <w:ind w:firstLine="420" w:firstLineChars="200"/>
        <w:rPr>
          <w:rFonts w:ascii="宋体"/>
        </w:rPr>
      </w:pPr>
      <w:r>
        <w:rPr>
          <w:rFonts w:hint="eastAsia" w:ascii="宋体" w:hAnsi="宋体"/>
        </w:rPr>
        <w:t>因下列</w:t>
      </w:r>
      <w:r>
        <w:rPr>
          <w:rFonts w:hint="eastAsia" w:ascii="宋体" w:hAnsi="宋体"/>
          <w:szCs w:val="21"/>
        </w:rPr>
        <w:t>情形</w:t>
      </w:r>
      <w:r>
        <w:rPr>
          <w:rFonts w:hint="eastAsia" w:ascii="宋体" w:hAnsi="宋体"/>
        </w:rPr>
        <w:t>暂停施工增加的费用和（或）工期延误由承包人承担：</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）承包人违约引起的暂停施工；</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）由于承包人原因为工程合理施工和安全保障所必需的暂停施工；</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）承包人擅自暂停施工；</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w:t>
      </w:r>
      <w:r>
        <w:rPr>
          <w:rFonts w:hint="eastAsia" w:ascii="宋体" w:hAnsi="宋体"/>
          <w:szCs w:val="21"/>
        </w:rPr>
        <w:t>承包人承担暂停施工责任的其他情形</w:t>
      </w:r>
      <w:r>
        <w:rPr>
          <w:rFonts w:hint="eastAsia" w:ascii="黑体" w:hAnsi="黑体" w:eastAsia="黑体"/>
        </w:rPr>
        <w:t>见合同条款专用部分。</w:t>
      </w:r>
    </w:p>
    <w:p>
      <w:pPr>
        <w:pStyle w:val="155"/>
        <w:spacing w:before="120" w:after="120"/>
      </w:pPr>
      <w:bookmarkStart w:id="2410" w:name="_Toc152045691"/>
      <w:bookmarkStart w:id="2411" w:name="_Toc342296342"/>
      <w:bookmarkStart w:id="2412" w:name="_Toc144974660"/>
      <w:bookmarkStart w:id="2413" w:name="_Toc486580128"/>
      <w:bookmarkStart w:id="2414" w:name="_Toc483668157"/>
      <w:bookmarkStart w:id="2415" w:name="_Toc480486810"/>
      <w:bookmarkStart w:id="2416" w:name="_Toc489279939"/>
      <w:bookmarkStart w:id="2417" w:name="_Toc490222573"/>
      <w:bookmarkStart w:id="2418" w:name="_Toc480486982"/>
      <w:bookmarkStart w:id="2419" w:name="_Toc152042469"/>
      <w:bookmarkStart w:id="2420" w:name="_Toc338944784"/>
      <w:bookmarkStart w:id="2421" w:name="_Toc179632709"/>
      <w:bookmarkStart w:id="2422" w:name="_Toc117350497"/>
      <w:r>
        <w:t xml:space="preserve">12.2  </w:t>
      </w:r>
      <w:r>
        <w:rPr>
          <w:rFonts w:hint="eastAsia"/>
        </w:rPr>
        <w:t>发包人暂停施工的责任</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pPr>
        <w:spacing w:line="360" w:lineRule="auto"/>
        <w:ind w:firstLine="420" w:firstLineChars="200"/>
        <w:rPr>
          <w:rFonts w:ascii="宋体"/>
        </w:rPr>
      </w:pPr>
      <w:r>
        <w:rPr>
          <w:rFonts w:hint="eastAsia" w:ascii="宋体" w:hAnsi="宋体"/>
        </w:rPr>
        <w:t>由于发包人原因引起的暂停施工造成工期延误的，承包人有权要求发包人延长工期和（或）增加费用，并支付合理利润。</w:t>
      </w:r>
    </w:p>
    <w:p>
      <w:pPr>
        <w:pStyle w:val="155"/>
        <w:spacing w:before="120" w:after="120"/>
      </w:pPr>
      <w:bookmarkStart w:id="2423" w:name="_Toc483668158"/>
      <w:bookmarkStart w:id="2424" w:name="_Toc152045692"/>
      <w:bookmarkStart w:id="2425" w:name="_Toc480486811"/>
      <w:bookmarkStart w:id="2426" w:name="_Toc342296343"/>
      <w:bookmarkStart w:id="2427" w:name="_Toc490222574"/>
      <w:bookmarkStart w:id="2428" w:name="_Toc486580129"/>
      <w:bookmarkStart w:id="2429" w:name="_Toc489279940"/>
      <w:bookmarkStart w:id="2430" w:name="_Toc338944785"/>
      <w:bookmarkStart w:id="2431" w:name="_Toc152042470"/>
      <w:bookmarkStart w:id="2432" w:name="_Toc179632710"/>
      <w:bookmarkStart w:id="2433" w:name="_Toc480486983"/>
      <w:bookmarkStart w:id="2434" w:name="_Toc144974661"/>
      <w:bookmarkStart w:id="2435" w:name="_Toc117350498"/>
      <w:r>
        <w:t xml:space="preserve">12.3  </w:t>
      </w:r>
      <w:r>
        <w:rPr>
          <w:rFonts w:hint="eastAsia"/>
        </w:rPr>
        <w:t>监理人暂停施工指示</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pPr>
        <w:spacing w:line="360" w:lineRule="auto"/>
        <w:ind w:firstLine="420" w:firstLineChars="200"/>
        <w:rPr>
          <w:rFonts w:ascii="宋体"/>
        </w:rPr>
      </w:pPr>
      <w:r>
        <w:rPr>
          <w:rFonts w:ascii="宋体" w:hAnsi="宋体"/>
        </w:rPr>
        <w:t xml:space="preserve">12.3.1  </w:t>
      </w:r>
      <w:r>
        <w:rPr>
          <w:rFonts w:hint="eastAsia" w:ascii="宋体" w:hAnsi="宋体"/>
        </w:rPr>
        <w:t>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rFonts w:ascii="宋体"/>
        </w:rPr>
      </w:pPr>
      <w:r>
        <w:rPr>
          <w:rFonts w:ascii="宋体" w:hAnsi="宋体"/>
        </w:rPr>
        <w:t xml:space="preserve">12.3.2  </w:t>
      </w:r>
      <w:r>
        <w:rPr>
          <w:rFonts w:hint="eastAsia" w:ascii="宋体" w:hAnsi="宋体"/>
        </w:rPr>
        <w:t>由于发包人的原因发生暂停施工的紧急情况，且监理人未及时下达暂停施工指示的，承包人可先暂停施工，并及时向监理人提出暂停施工的书面请求。监理人应在接到书面请求后的</w:t>
      </w:r>
      <w:r>
        <w:rPr>
          <w:rFonts w:ascii="宋体" w:hAnsi="宋体"/>
        </w:rPr>
        <w:t>24</w:t>
      </w:r>
      <w:r>
        <w:rPr>
          <w:rFonts w:hint="eastAsia" w:ascii="宋体" w:hAnsi="宋体"/>
        </w:rPr>
        <w:t>小时内予以答复，逾期未答复的，视为同意承包人的暂停施工请求。</w:t>
      </w:r>
    </w:p>
    <w:p>
      <w:pPr>
        <w:pStyle w:val="155"/>
        <w:spacing w:before="120" w:after="120"/>
      </w:pPr>
      <w:bookmarkStart w:id="2436" w:name="_Toc483668159"/>
      <w:bookmarkStart w:id="2437" w:name="_Toc338944786"/>
      <w:bookmarkStart w:id="2438" w:name="_Toc480486812"/>
      <w:bookmarkStart w:id="2439" w:name="_Toc179632711"/>
      <w:bookmarkStart w:id="2440" w:name="_Toc152045693"/>
      <w:bookmarkStart w:id="2441" w:name="_Toc342296344"/>
      <w:bookmarkStart w:id="2442" w:name="_Toc490222575"/>
      <w:bookmarkStart w:id="2443" w:name="_Toc152042471"/>
      <w:bookmarkStart w:id="2444" w:name="_Toc486580130"/>
      <w:bookmarkStart w:id="2445" w:name="_Toc489279941"/>
      <w:bookmarkStart w:id="2446" w:name="_Toc480486984"/>
      <w:bookmarkStart w:id="2447" w:name="_Toc144974662"/>
      <w:bookmarkStart w:id="2448" w:name="_Toc117350499"/>
      <w:r>
        <w:t xml:space="preserve">12.4  </w:t>
      </w:r>
      <w:r>
        <w:rPr>
          <w:rFonts w:hint="eastAsia"/>
        </w:rPr>
        <w:t>暂停施工后的复工</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pPr>
        <w:spacing w:line="360" w:lineRule="auto"/>
        <w:ind w:firstLine="420" w:firstLineChars="200"/>
        <w:rPr>
          <w:rFonts w:ascii="宋体"/>
        </w:rPr>
      </w:pPr>
      <w:r>
        <w:rPr>
          <w:rFonts w:ascii="宋体" w:hAnsi="宋体"/>
        </w:rPr>
        <w:t xml:space="preserve">12.4.1  </w:t>
      </w:r>
      <w:r>
        <w:rPr>
          <w:rFonts w:hint="eastAsia" w:ascii="宋体" w:hAnsi="宋体"/>
        </w:rPr>
        <w:t>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rFonts w:ascii="宋体"/>
        </w:rPr>
      </w:pPr>
      <w:r>
        <w:rPr>
          <w:rFonts w:ascii="宋体" w:hAnsi="宋体"/>
        </w:rPr>
        <w:t xml:space="preserve">12.4.2  </w:t>
      </w:r>
      <w:r>
        <w:rPr>
          <w:rFonts w:hint="eastAsia" w:ascii="宋体" w:hAnsi="宋体"/>
        </w:rPr>
        <w:t>承包人无故拖延和拒绝复工的，由此增加的费用和工期延误由承包人承担；因发包人原因无法按时复工的，承包人有权要求发包人延长工期和（或）增加费用，并支付合理利润。</w:t>
      </w:r>
    </w:p>
    <w:p>
      <w:pPr>
        <w:spacing w:line="360" w:lineRule="auto"/>
        <w:ind w:firstLine="420" w:firstLineChars="200"/>
        <w:rPr>
          <w:rFonts w:ascii="宋体"/>
          <w:szCs w:val="21"/>
        </w:rPr>
      </w:pPr>
      <w:r>
        <w:rPr>
          <w:rFonts w:ascii="宋体" w:hAnsi="宋体"/>
        </w:rPr>
        <w:t xml:space="preserve">12.4.3  </w:t>
      </w:r>
      <w:r>
        <w:rPr>
          <w:rFonts w:hint="eastAsia" w:ascii="宋体" w:hAnsi="宋体"/>
          <w:szCs w:val="21"/>
        </w:rPr>
        <w:t>根据第</w:t>
      </w:r>
      <w:r>
        <w:rPr>
          <w:rFonts w:ascii="宋体" w:hAnsi="宋体"/>
          <w:szCs w:val="21"/>
        </w:rPr>
        <w:t>12.4.1</w:t>
      </w:r>
      <w:r>
        <w:rPr>
          <w:rFonts w:hint="eastAsia" w:ascii="宋体" w:hAnsi="宋体"/>
          <w:szCs w:val="21"/>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pPr>
        <w:spacing w:line="360" w:lineRule="auto"/>
        <w:ind w:firstLine="420" w:firstLineChars="200"/>
        <w:rPr>
          <w:rFonts w:ascii="宋体"/>
        </w:rPr>
      </w:pPr>
      <w:r>
        <w:rPr>
          <w:rFonts w:ascii="宋体" w:hAnsi="宋体"/>
        </w:rPr>
        <w:t xml:space="preserve">12.4.4  </w:t>
      </w:r>
      <w:r>
        <w:rPr>
          <w:rFonts w:hint="eastAsia" w:ascii="宋体" w:hAnsi="宋体"/>
        </w:rPr>
        <w:t>暂停施工持续</w:t>
      </w:r>
      <w:r>
        <w:rPr>
          <w:rFonts w:ascii="宋体" w:hAnsi="宋体"/>
        </w:rPr>
        <w:t>56</w:t>
      </w:r>
      <w:r>
        <w:rPr>
          <w:rFonts w:hint="eastAsia" w:ascii="宋体" w:hAnsi="宋体"/>
        </w:rPr>
        <w:t>天以上，按合同约定由承包人提供的材料和工程设备，由于暂停施工原因导致承包人在暂停施工前已经订购但被暂停运至施工现场的，发包人应按照承包人订购合同的约定支付相应的订购款项。</w:t>
      </w:r>
    </w:p>
    <w:p>
      <w:pPr>
        <w:pStyle w:val="155"/>
        <w:spacing w:before="120" w:after="120"/>
      </w:pPr>
      <w:bookmarkStart w:id="2449" w:name="_Toc486580131"/>
      <w:bookmarkStart w:id="2450" w:name="_Toc489279942"/>
      <w:bookmarkStart w:id="2451" w:name="_Toc342296345"/>
      <w:bookmarkStart w:id="2452" w:name="_Toc179632712"/>
      <w:bookmarkStart w:id="2453" w:name="_Toc152042472"/>
      <w:bookmarkStart w:id="2454" w:name="_Toc480486813"/>
      <w:bookmarkStart w:id="2455" w:name="_Toc152045694"/>
      <w:bookmarkStart w:id="2456" w:name="_Toc483668160"/>
      <w:bookmarkStart w:id="2457" w:name="_Toc480486985"/>
      <w:bookmarkStart w:id="2458" w:name="_Toc144974663"/>
      <w:bookmarkStart w:id="2459" w:name="_Toc490222576"/>
      <w:bookmarkStart w:id="2460" w:name="_Toc338944787"/>
      <w:bookmarkStart w:id="2461" w:name="_Toc117350500"/>
      <w:r>
        <w:t xml:space="preserve">12.5  </w:t>
      </w:r>
      <w:r>
        <w:rPr>
          <w:rFonts w:hint="eastAsia"/>
        </w:rPr>
        <w:t>暂停施工持续</w:t>
      </w:r>
      <w:r>
        <w:t>56</w:t>
      </w:r>
      <w:r>
        <w:rPr>
          <w:rFonts w:hint="eastAsia"/>
        </w:rPr>
        <w:t>天以上</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pPr>
        <w:spacing w:line="360" w:lineRule="auto"/>
        <w:ind w:firstLine="411" w:firstLineChars="196"/>
        <w:rPr>
          <w:rFonts w:ascii="宋体"/>
        </w:rPr>
      </w:pPr>
      <w:r>
        <w:rPr>
          <w:rFonts w:ascii="宋体" w:hAnsi="宋体"/>
        </w:rPr>
        <w:t xml:space="preserve">12.5.1  </w:t>
      </w:r>
      <w:r>
        <w:rPr>
          <w:rFonts w:hint="eastAsia" w:ascii="宋体" w:hAnsi="宋体"/>
        </w:rPr>
        <w:t>监理人发出暂停施工指示后</w:t>
      </w:r>
      <w:r>
        <w:rPr>
          <w:rFonts w:ascii="宋体" w:hAnsi="宋体"/>
        </w:rPr>
        <w:t>56</w:t>
      </w:r>
      <w:r>
        <w:rPr>
          <w:rFonts w:hint="eastAsia" w:ascii="宋体" w:hAnsi="宋体"/>
        </w:rPr>
        <w:t>天内未向承包人发出复工通知，除了该项停工属于第</w:t>
      </w:r>
      <w:r>
        <w:rPr>
          <w:rFonts w:ascii="宋体" w:hAnsi="宋体"/>
        </w:rPr>
        <w:t>12.1</w:t>
      </w:r>
      <w:r>
        <w:rPr>
          <w:rFonts w:hint="eastAsia" w:ascii="宋体" w:hAnsi="宋体"/>
        </w:rPr>
        <w:t>款的情况外，承包人可向监理人提交书面通知，要求监理人在收到书面通知后</w:t>
      </w:r>
      <w:r>
        <w:rPr>
          <w:rFonts w:ascii="宋体" w:hAnsi="宋体"/>
        </w:rPr>
        <w:t>28</w:t>
      </w:r>
      <w:r>
        <w:rPr>
          <w:rFonts w:hint="eastAsia" w:ascii="宋体" w:hAnsi="宋体"/>
        </w:rPr>
        <w:t>天内准许已暂停施工的工程或其中一部分工程继续施工。如监理人逾期不予批准，则承包人可以通知监理人，将工程受影响的部分视为按第</w:t>
      </w:r>
      <w:r>
        <w:rPr>
          <w:rFonts w:ascii="宋体" w:hAnsi="宋体"/>
        </w:rPr>
        <w:t>15.1</w:t>
      </w:r>
      <w:r>
        <w:rPr>
          <w:rFonts w:hint="eastAsia" w:ascii="宋体" w:hAnsi="宋体"/>
        </w:rPr>
        <w:t>（</w:t>
      </w:r>
      <w:r>
        <w:rPr>
          <w:rFonts w:ascii="宋体" w:hAnsi="宋体"/>
        </w:rPr>
        <w:t>1</w:t>
      </w:r>
      <w:r>
        <w:rPr>
          <w:rFonts w:hint="eastAsia" w:ascii="宋体" w:hAnsi="宋体"/>
        </w:rPr>
        <w:t>）项的可取消工作。如暂停施工影响到整个工程，可视为发包人违约，应按第</w:t>
      </w:r>
      <w:r>
        <w:rPr>
          <w:rFonts w:ascii="宋体" w:hAnsi="宋体"/>
        </w:rPr>
        <w:t>22.2</w:t>
      </w:r>
      <w:r>
        <w:rPr>
          <w:rFonts w:hint="eastAsia" w:ascii="宋体" w:hAnsi="宋体"/>
        </w:rPr>
        <w:t>款的规定办理。</w:t>
      </w:r>
    </w:p>
    <w:p>
      <w:pPr>
        <w:tabs>
          <w:tab w:val="left" w:pos="1560"/>
        </w:tabs>
        <w:spacing w:line="360" w:lineRule="auto"/>
        <w:ind w:firstLine="420" w:firstLineChars="200"/>
        <w:rPr>
          <w:rFonts w:ascii="宋体"/>
        </w:rPr>
      </w:pPr>
      <w:r>
        <w:rPr>
          <w:rFonts w:ascii="宋体" w:hAnsi="宋体"/>
        </w:rPr>
        <w:t xml:space="preserve">12.5.2  </w:t>
      </w:r>
      <w:r>
        <w:rPr>
          <w:rFonts w:hint="eastAsia" w:ascii="宋体" w:hAnsi="宋体"/>
        </w:rPr>
        <w:t>由于承包人责任引起的暂停施工，如承包人在收到监理人暂停施工指示后</w:t>
      </w:r>
      <w:r>
        <w:rPr>
          <w:rFonts w:ascii="宋体" w:hAnsi="宋体"/>
        </w:rPr>
        <w:t>56</w:t>
      </w:r>
      <w:r>
        <w:rPr>
          <w:rFonts w:hint="eastAsia" w:ascii="宋体" w:hAnsi="宋体"/>
        </w:rPr>
        <w:t>天内不认真采取有效的复工措施，造成工期延误，可视为承包人违约，应按第</w:t>
      </w:r>
      <w:r>
        <w:rPr>
          <w:rFonts w:ascii="宋体" w:hAnsi="宋体"/>
        </w:rPr>
        <w:t>22.1</w:t>
      </w:r>
      <w:r>
        <w:rPr>
          <w:rFonts w:hint="eastAsia" w:ascii="宋体" w:hAnsi="宋体"/>
        </w:rPr>
        <w:t>款的规定办理。</w:t>
      </w:r>
    </w:p>
    <w:p>
      <w:pPr>
        <w:pStyle w:val="144"/>
        <w:spacing w:before="120" w:after="120"/>
      </w:pPr>
      <w:bookmarkStart w:id="2462" w:name="_Toc480486986"/>
      <w:bookmarkStart w:id="2463" w:name="_Toc489279943"/>
      <w:bookmarkStart w:id="2464" w:name="_Toc480486814"/>
      <w:bookmarkStart w:id="2465" w:name="_Toc483668161"/>
      <w:bookmarkStart w:id="2466" w:name="_Toc338944788"/>
      <w:bookmarkStart w:id="2467" w:name="_Toc490222577"/>
      <w:bookmarkStart w:id="2468" w:name="_Toc486580132"/>
      <w:bookmarkStart w:id="2469" w:name="_Toc342296346"/>
      <w:bookmarkStart w:id="2470" w:name="_Toc117350501"/>
      <w:r>
        <w:t>13.</w:t>
      </w:r>
      <w:r>
        <w:rPr>
          <w:rFonts w:hint="eastAsia"/>
        </w:rPr>
        <w:t>工程质量</w:t>
      </w:r>
      <w:bookmarkEnd w:id="2462"/>
      <w:bookmarkEnd w:id="2463"/>
      <w:bookmarkEnd w:id="2464"/>
      <w:bookmarkEnd w:id="2465"/>
      <w:bookmarkEnd w:id="2466"/>
      <w:bookmarkEnd w:id="2467"/>
      <w:bookmarkEnd w:id="2468"/>
      <w:bookmarkEnd w:id="2469"/>
      <w:bookmarkEnd w:id="2470"/>
    </w:p>
    <w:p>
      <w:pPr>
        <w:pStyle w:val="155"/>
        <w:spacing w:before="120" w:after="120"/>
      </w:pPr>
      <w:bookmarkStart w:id="2471" w:name="_Toc490222578"/>
      <w:bookmarkStart w:id="2472" w:name="_Toc486580133"/>
      <w:bookmarkStart w:id="2473" w:name="_Toc144974665"/>
      <w:bookmarkStart w:id="2474" w:name="_Toc342296347"/>
      <w:bookmarkStart w:id="2475" w:name="_Toc338944789"/>
      <w:bookmarkStart w:id="2476" w:name="_Toc489279944"/>
      <w:bookmarkStart w:id="2477" w:name="_Toc152042474"/>
      <w:bookmarkStart w:id="2478" w:name="_Toc480486987"/>
      <w:bookmarkStart w:id="2479" w:name="_Toc152045696"/>
      <w:bookmarkStart w:id="2480" w:name="_Toc179632714"/>
      <w:bookmarkStart w:id="2481" w:name="_Toc483668162"/>
      <w:bookmarkStart w:id="2482" w:name="_Toc480486815"/>
      <w:bookmarkStart w:id="2483" w:name="_Toc117350502"/>
      <w:r>
        <w:t xml:space="preserve">13.1  </w:t>
      </w:r>
      <w:r>
        <w:rPr>
          <w:rFonts w:hint="eastAsia"/>
        </w:rPr>
        <w:t>工程质量要求</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pPr>
        <w:spacing w:line="360" w:lineRule="auto"/>
        <w:ind w:firstLine="420" w:firstLineChars="200"/>
        <w:rPr>
          <w:rFonts w:ascii="宋体"/>
        </w:rPr>
      </w:pPr>
      <w:r>
        <w:rPr>
          <w:rFonts w:ascii="宋体" w:hAnsi="宋体"/>
        </w:rPr>
        <w:t xml:space="preserve">13.1.1  </w:t>
      </w:r>
      <w:r>
        <w:rPr>
          <w:rFonts w:hint="eastAsia" w:ascii="宋体" w:hAnsi="宋体"/>
        </w:rPr>
        <w:t>工程质量验收按合同约定验收标准执行。</w:t>
      </w:r>
    </w:p>
    <w:p>
      <w:pPr>
        <w:spacing w:line="360" w:lineRule="auto"/>
        <w:ind w:firstLine="420" w:firstLineChars="200"/>
        <w:rPr>
          <w:rFonts w:ascii="宋体"/>
        </w:rPr>
      </w:pPr>
      <w:r>
        <w:rPr>
          <w:rFonts w:ascii="宋体" w:hAnsi="宋体"/>
        </w:rPr>
        <w:t xml:space="preserve">13.1.2  </w:t>
      </w:r>
      <w:r>
        <w:rPr>
          <w:rFonts w:hint="eastAsia" w:ascii="宋体" w:hAnsi="宋体"/>
        </w:rPr>
        <w:t>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rFonts w:ascii="宋体"/>
        </w:rPr>
      </w:pPr>
      <w:r>
        <w:rPr>
          <w:rFonts w:ascii="宋体" w:hAnsi="宋体"/>
        </w:rPr>
        <w:t xml:space="preserve">13.1.3  </w:t>
      </w:r>
      <w:r>
        <w:rPr>
          <w:rFonts w:hint="eastAsia" w:ascii="宋体" w:hAnsi="宋体"/>
        </w:rPr>
        <w:t>因发包人原因造成工程质量达不到合同约定验收标准的，发包人应承担由于承包人返工造成的费用增加和（或）工期延误，并支付承包人合理利润。</w:t>
      </w:r>
    </w:p>
    <w:p>
      <w:pPr>
        <w:pStyle w:val="155"/>
        <w:spacing w:before="120" w:after="120"/>
      </w:pPr>
      <w:bookmarkStart w:id="2484" w:name="_Toc480486816"/>
      <w:bookmarkStart w:id="2485" w:name="_Toc480486988"/>
      <w:bookmarkStart w:id="2486" w:name="_Toc483668163"/>
      <w:bookmarkStart w:id="2487" w:name="_Toc490222579"/>
      <w:bookmarkStart w:id="2488" w:name="_Toc486580134"/>
      <w:bookmarkStart w:id="2489" w:name="_Toc489279945"/>
      <w:bookmarkStart w:id="2490" w:name="_Toc338944790"/>
      <w:bookmarkStart w:id="2491" w:name="_Toc342296348"/>
      <w:bookmarkStart w:id="2492" w:name="_Toc117350503"/>
      <w:r>
        <w:t xml:space="preserve">13.2  </w:t>
      </w:r>
      <w:r>
        <w:rPr>
          <w:rFonts w:hint="eastAsia"/>
        </w:rPr>
        <w:t>承包人的质量管理</w:t>
      </w:r>
      <w:bookmarkEnd w:id="2484"/>
      <w:bookmarkEnd w:id="2485"/>
      <w:bookmarkEnd w:id="2486"/>
      <w:bookmarkEnd w:id="2487"/>
      <w:bookmarkEnd w:id="2488"/>
      <w:bookmarkEnd w:id="2489"/>
      <w:bookmarkEnd w:id="2490"/>
      <w:bookmarkEnd w:id="2491"/>
      <w:bookmarkEnd w:id="2492"/>
    </w:p>
    <w:p>
      <w:pPr>
        <w:spacing w:line="360" w:lineRule="auto"/>
        <w:ind w:firstLine="420" w:firstLineChars="200"/>
        <w:rPr>
          <w:rFonts w:ascii="宋体"/>
        </w:rPr>
      </w:pPr>
      <w:r>
        <w:rPr>
          <w:rFonts w:ascii="宋体" w:hAnsi="宋体"/>
        </w:rPr>
        <w:t xml:space="preserve">13.2.1  </w:t>
      </w:r>
      <w:r>
        <w:rPr>
          <w:rFonts w:hint="eastAsia" w:ascii="宋体" w:hAnsi="宋体"/>
        </w:rPr>
        <w:t>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p>
    <w:p>
      <w:pPr>
        <w:spacing w:line="360" w:lineRule="auto"/>
        <w:ind w:firstLine="420" w:firstLineChars="200"/>
        <w:rPr>
          <w:rFonts w:ascii="宋体"/>
        </w:rPr>
      </w:pPr>
      <w:r>
        <w:rPr>
          <w:rFonts w:ascii="宋体" w:hAnsi="宋体"/>
        </w:rPr>
        <w:t xml:space="preserve">13.2.2  </w:t>
      </w:r>
      <w:r>
        <w:rPr>
          <w:rFonts w:hint="eastAsia" w:ascii="宋体" w:hAnsi="宋体"/>
        </w:rPr>
        <w:t>承包人应加强对施工人员的质量教育和技术培训，定期考核施工人员的劳动技能，严格执行规范和操作规程。</w:t>
      </w:r>
    </w:p>
    <w:p>
      <w:pPr>
        <w:pStyle w:val="155"/>
        <w:spacing w:before="120" w:after="120"/>
      </w:pPr>
      <w:bookmarkStart w:id="2493" w:name="_Toc480486989"/>
      <w:bookmarkStart w:id="2494" w:name="_Toc338944791"/>
      <w:bookmarkStart w:id="2495" w:name="_Toc483668164"/>
      <w:bookmarkStart w:id="2496" w:name="_Toc486580135"/>
      <w:bookmarkStart w:id="2497" w:name="_Toc489279946"/>
      <w:bookmarkStart w:id="2498" w:name="_Toc342296349"/>
      <w:bookmarkStart w:id="2499" w:name="_Toc480486817"/>
      <w:bookmarkStart w:id="2500" w:name="_Toc490222580"/>
      <w:bookmarkStart w:id="2501" w:name="_Toc117350504"/>
      <w:r>
        <w:t xml:space="preserve">13.3  </w:t>
      </w:r>
      <w:r>
        <w:rPr>
          <w:rFonts w:hint="eastAsia"/>
        </w:rPr>
        <w:t>承包人的质量检查</w:t>
      </w:r>
      <w:bookmarkEnd w:id="2493"/>
      <w:bookmarkEnd w:id="2494"/>
      <w:bookmarkEnd w:id="2495"/>
      <w:bookmarkEnd w:id="2496"/>
      <w:bookmarkEnd w:id="2497"/>
      <w:bookmarkEnd w:id="2498"/>
      <w:bookmarkEnd w:id="2499"/>
      <w:bookmarkEnd w:id="2500"/>
      <w:bookmarkEnd w:id="2501"/>
    </w:p>
    <w:p>
      <w:pPr>
        <w:spacing w:line="360" w:lineRule="auto"/>
        <w:ind w:firstLine="420" w:firstLineChars="200"/>
        <w:rPr>
          <w:rFonts w:ascii="宋体"/>
        </w:rPr>
      </w:pPr>
      <w:r>
        <w:rPr>
          <w:rFonts w:hint="eastAsia" w:ascii="宋体" w:hAnsi="宋体"/>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pPr>
        <w:pStyle w:val="155"/>
        <w:spacing w:before="120" w:after="120"/>
      </w:pPr>
      <w:bookmarkStart w:id="2502" w:name="_Toc489279947"/>
      <w:bookmarkStart w:id="2503" w:name="_Toc483668165"/>
      <w:bookmarkStart w:id="2504" w:name="_Toc480486818"/>
      <w:bookmarkStart w:id="2505" w:name="_Toc480486990"/>
      <w:bookmarkStart w:id="2506" w:name="_Toc490222581"/>
      <w:bookmarkStart w:id="2507" w:name="_Toc486580136"/>
      <w:bookmarkStart w:id="2508" w:name="_Toc338944792"/>
      <w:bookmarkStart w:id="2509" w:name="_Toc342296350"/>
      <w:bookmarkStart w:id="2510" w:name="_Toc117350505"/>
      <w:r>
        <w:t xml:space="preserve">13.4  </w:t>
      </w:r>
      <w:r>
        <w:rPr>
          <w:rFonts w:hint="eastAsia"/>
        </w:rPr>
        <w:t>监理人的质量检查</w:t>
      </w:r>
      <w:bookmarkEnd w:id="2502"/>
      <w:bookmarkEnd w:id="2503"/>
      <w:bookmarkEnd w:id="2504"/>
      <w:bookmarkEnd w:id="2505"/>
      <w:bookmarkEnd w:id="2506"/>
      <w:bookmarkEnd w:id="2507"/>
      <w:bookmarkEnd w:id="2508"/>
      <w:bookmarkEnd w:id="2509"/>
      <w:bookmarkEnd w:id="2510"/>
    </w:p>
    <w:p>
      <w:pPr>
        <w:spacing w:line="360" w:lineRule="auto"/>
        <w:ind w:firstLine="420" w:firstLineChars="200"/>
        <w:rPr>
          <w:rFonts w:ascii="宋体"/>
        </w:rPr>
      </w:pPr>
      <w:r>
        <w:rPr>
          <w:rFonts w:hint="eastAsia" w:ascii="宋体" w:hAnsi="宋体"/>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w:t>
      </w:r>
      <w:r>
        <w:rPr>
          <w:rFonts w:hint="eastAsia" w:ascii="黑体" w:hAnsi="黑体" w:eastAsia="黑体"/>
        </w:rPr>
        <w:t>见合同条款专用部分</w:t>
      </w:r>
      <w:r>
        <w:rPr>
          <w:rFonts w:hint="eastAsia" w:ascii="宋体" w:hAnsi="宋体"/>
        </w:rPr>
        <w:t>。</w:t>
      </w:r>
    </w:p>
    <w:p>
      <w:pPr>
        <w:pStyle w:val="155"/>
        <w:spacing w:before="120" w:after="120"/>
      </w:pPr>
      <w:bookmarkStart w:id="2511" w:name="_Toc489279948"/>
      <w:bookmarkStart w:id="2512" w:name="_Toc480486991"/>
      <w:bookmarkStart w:id="2513" w:name="_Toc490222582"/>
      <w:bookmarkStart w:id="2514" w:name="_Toc483668166"/>
      <w:bookmarkStart w:id="2515" w:name="_Toc480486819"/>
      <w:bookmarkStart w:id="2516" w:name="_Toc342296351"/>
      <w:bookmarkStart w:id="2517" w:name="_Toc486580137"/>
      <w:bookmarkStart w:id="2518" w:name="_Toc338944793"/>
      <w:bookmarkStart w:id="2519" w:name="_Toc117350506"/>
      <w:r>
        <w:t xml:space="preserve">13.5  </w:t>
      </w:r>
      <w:r>
        <w:rPr>
          <w:rFonts w:hint="eastAsia"/>
        </w:rPr>
        <w:t>工程隐蔽部位覆盖前的检查</w:t>
      </w:r>
      <w:bookmarkEnd w:id="2511"/>
      <w:bookmarkEnd w:id="2512"/>
      <w:bookmarkEnd w:id="2513"/>
      <w:bookmarkEnd w:id="2514"/>
      <w:bookmarkEnd w:id="2515"/>
      <w:bookmarkEnd w:id="2516"/>
      <w:bookmarkEnd w:id="2517"/>
      <w:bookmarkEnd w:id="2518"/>
      <w:bookmarkEnd w:id="2519"/>
    </w:p>
    <w:p>
      <w:pPr>
        <w:spacing w:line="360" w:lineRule="auto"/>
        <w:ind w:firstLine="420" w:firstLineChars="200"/>
        <w:rPr>
          <w:rFonts w:ascii="宋体"/>
        </w:rPr>
      </w:pPr>
      <w:r>
        <w:rPr>
          <w:rFonts w:ascii="宋体" w:hAnsi="宋体"/>
        </w:rPr>
        <w:t xml:space="preserve">13.5.1  </w:t>
      </w:r>
      <w:r>
        <w:rPr>
          <w:rFonts w:hint="eastAsia" w:ascii="宋体" w:hAnsi="宋体"/>
        </w:rPr>
        <w:t>通知监理人检查</w:t>
      </w:r>
    </w:p>
    <w:p>
      <w:pPr>
        <w:spacing w:line="360" w:lineRule="auto"/>
        <w:ind w:firstLine="420" w:firstLineChars="200"/>
        <w:rPr>
          <w:rFonts w:ascii="宋体"/>
        </w:rPr>
      </w:pPr>
      <w:r>
        <w:rPr>
          <w:rFonts w:hint="eastAsia" w:ascii="宋体" w:hAnsi="宋体"/>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r>
        <w:rPr>
          <w:rFonts w:hint="eastAsia" w:ascii="宋体" w:hAnsi="宋体"/>
          <w:szCs w:val="21"/>
        </w:rPr>
        <w:t>监理人对工程隐蔽部位进行检查的期限</w:t>
      </w:r>
      <w:r>
        <w:rPr>
          <w:rFonts w:hint="eastAsia" w:ascii="黑体" w:hAnsi="黑体" w:eastAsia="黑体"/>
        </w:rPr>
        <w:t>见合同条款专用部分。</w:t>
      </w:r>
    </w:p>
    <w:p>
      <w:pPr>
        <w:spacing w:line="360" w:lineRule="auto"/>
        <w:ind w:firstLine="420" w:firstLineChars="200"/>
        <w:rPr>
          <w:rFonts w:ascii="宋体"/>
        </w:rPr>
      </w:pPr>
      <w:r>
        <w:rPr>
          <w:rFonts w:ascii="宋体" w:hAnsi="宋体"/>
        </w:rPr>
        <w:t xml:space="preserve">13.5.2  </w:t>
      </w:r>
      <w:r>
        <w:rPr>
          <w:rFonts w:hint="eastAsia" w:ascii="宋体" w:hAnsi="宋体"/>
        </w:rPr>
        <w:t>监理人未到场检查</w:t>
      </w:r>
    </w:p>
    <w:p>
      <w:pPr>
        <w:spacing w:line="360" w:lineRule="auto"/>
        <w:ind w:firstLine="420" w:firstLineChars="200"/>
        <w:rPr>
          <w:rFonts w:ascii="宋体"/>
        </w:rPr>
      </w:pPr>
      <w:r>
        <w:rPr>
          <w:rFonts w:hint="eastAsia" w:ascii="宋体" w:hAnsi="宋体"/>
        </w:rPr>
        <w:t>监理人未按第</w:t>
      </w:r>
      <w:r>
        <w:rPr>
          <w:rFonts w:ascii="宋体" w:hAnsi="宋体"/>
        </w:rPr>
        <w:t>13.5.1</w:t>
      </w:r>
      <w:r>
        <w:rPr>
          <w:rFonts w:hint="eastAsia" w:ascii="宋体" w:hAnsi="宋体"/>
        </w:rPr>
        <w:t>项约定的时间进行检查的，除监理人另有指示外，承包人可自行完成覆盖工作，并作相应记录报送监理人，监理人应签字确认。监理人事后对检查记录有疑问的，可按第</w:t>
      </w:r>
      <w:r>
        <w:rPr>
          <w:rFonts w:ascii="宋体" w:hAnsi="宋体"/>
        </w:rPr>
        <w:t>13.5.3</w:t>
      </w:r>
      <w:r>
        <w:rPr>
          <w:rFonts w:hint="eastAsia" w:ascii="宋体" w:hAnsi="宋体"/>
        </w:rPr>
        <w:t>项的约定重新检查。</w:t>
      </w:r>
    </w:p>
    <w:p>
      <w:pPr>
        <w:spacing w:line="360" w:lineRule="auto"/>
        <w:ind w:firstLine="420" w:firstLineChars="200"/>
        <w:rPr>
          <w:rFonts w:ascii="宋体"/>
        </w:rPr>
      </w:pPr>
      <w:r>
        <w:rPr>
          <w:rFonts w:ascii="宋体" w:hAnsi="宋体"/>
        </w:rPr>
        <w:t xml:space="preserve">13.5.3  </w:t>
      </w:r>
      <w:r>
        <w:rPr>
          <w:rFonts w:hint="eastAsia" w:ascii="宋体" w:hAnsi="宋体"/>
        </w:rPr>
        <w:t>监理人重新检查</w:t>
      </w:r>
    </w:p>
    <w:p>
      <w:pPr>
        <w:spacing w:line="360" w:lineRule="auto"/>
        <w:ind w:firstLine="420" w:firstLineChars="200"/>
        <w:rPr>
          <w:rFonts w:ascii="宋体"/>
        </w:rPr>
      </w:pPr>
      <w:r>
        <w:rPr>
          <w:rFonts w:hint="eastAsia" w:ascii="宋体" w:hAnsi="宋体"/>
        </w:rPr>
        <w:t>承包人按第</w:t>
      </w:r>
      <w:r>
        <w:rPr>
          <w:rFonts w:ascii="宋体" w:hAnsi="宋体"/>
        </w:rPr>
        <w:t>13.5.1</w:t>
      </w:r>
      <w:r>
        <w:rPr>
          <w:rFonts w:hint="eastAsia" w:ascii="宋体" w:hAnsi="宋体"/>
        </w:rPr>
        <w:t>项或第</w:t>
      </w:r>
      <w:r>
        <w:rPr>
          <w:rFonts w:ascii="宋体" w:hAnsi="宋体"/>
        </w:rPr>
        <w:t>13.5.2</w:t>
      </w:r>
      <w:r>
        <w:rPr>
          <w:rFonts w:hint="eastAsia" w:ascii="宋体" w:hAnsi="宋体"/>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rFonts w:ascii="宋体"/>
        </w:rPr>
      </w:pPr>
      <w:r>
        <w:rPr>
          <w:rFonts w:ascii="宋体" w:hAnsi="宋体"/>
        </w:rPr>
        <w:t xml:space="preserve">13.5.4  </w:t>
      </w:r>
      <w:r>
        <w:rPr>
          <w:rFonts w:hint="eastAsia" w:ascii="宋体" w:hAnsi="宋体"/>
        </w:rPr>
        <w:t>承包人私自覆盖</w:t>
      </w:r>
    </w:p>
    <w:p>
      <w:pPr>
        <w:spacing w:line="360" w:lineRule="auto"/>
        <w:ind w:firstLine="420" w:firstLineChars="200"/>
        <w:rPr>
          <w:rFonts w:ascii="宋体"/>
        </w:rPr>
      </w:pPr>
      <w:r>
        <w:rPr>
          <w:rFonts w:hint="eastAsia" w:ascii="宋体" w:hAnsi="宋体"/>
        </w:rPr>
        <w:t>承包人未通知监理人到场检查，私自将工程隐蔽部位覆盖的，监理人有权指示承包人钻孔探测或揭开检查，由此增加的费用和（或）工期延误由承包人承担。</w:t>
      </w:r>
    </w:p>
    <w:p>
      <w:pPr>
        <w:pStyle w:val="155"/>
        <w:spacing w:before="120" w:after="120"/>
      </w:pPr>
      <w:bookmarkStart w:id="2520" w:name="_Toc152042479"/>
      <w:bookmarkStart w:id="2521" w:name="_Toc179632719"/>
      <w:bookmarkStart w:id="2522" w:name="_Toc342296352"/>
      <w:bookmarkStart w:id="2523" w:name="_Toc489279949"/>
      <w:bookmarkStart w:id="2524" w:name="_Toc480486992"/>
      <w:bookmarkStart w:id="2525" w:name="_Toc490222583"/>
      <w:bookmarkStart w:id="2526" w:name="_Toc486580138"/>
      <w:bookmarkStart w:id="2527" w:name="_Toc338944794"/>
      <w:bookmarkStart w:id="2528" w:name="_Toc483668167"/>
      <w:bookmarkStart w:id="2529" w:name="_Toc152045701"/>
      <w:bookmarkStart w:id="2530" w:name="_Toc144974670"/>
      <w:bookmarkStart w:id="2531" w:name="_Toc480486820"/>
      <w:bookmarkStart w:id="2532" w:name="_Toc117350507"/>
      <w:r>
        <w:t xml:space="preserve">13.6  </w:t>
      </w:r>
      <w:r>
        <w:rPr>
          <w:rFonts w:hint="eastAsia"/>
        </w:rPr>
        <w:t>清除不合格工程</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pPr>
        <w:spacing w:line="360" w:lineRule="auto"/>
        <w:ind w:firstLine="420" w:firstLineChars="200"/>
        <w:rPr>
          <w:rFonts w:ascii="宋体"/>
        </w:rPr>
      </w:pPr>
      <w:r>
        <w:rPr>
          <w:rFonts w:ascii="宋体" w:hAnsi="宋体"/>
        </w:rPr>
        <w:t xml:space="preserve">13.6.1  </w:t>
      </w:r>
      <w:r>
        <w:rPr>
          <w:rFonts w:hint="eastAsia" w:ascii="宋体" w:hAnsi="宋体"/>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rFonts w:ascii="宋体"/>
        </w:rPr>
      </w:pPr>
      <w:r>
        <w:rPr>
          <w:rFonts w:ascii="宋体" w:hAnsi="宋体"/>
        </w:rPr>
        <w:t xml:space="preserve">13.6.2  </w:t>
      </w:r>
      <w:r>
        <w:rPr>
          <w:rFonts w:hint="eastAsia" w:ascii="宋体" w:hAnsi="宋体"/>
        </w:rPr>
        <w:t>由于发包人提供的材料或工程设备不合格造成的工程不合格，需要承包人采取措施补救的，发包人应承担由此增加的费用和（或）工期延误，并支付承包人合理利润。</w:t>
      </w:r>
    </w:p>
    <w:p>
      <w:pPr>
        <w:pStyle w:val="155"/>
        <w:spacing w:before="120" w:after="120"/>
      </w:pPr>
      <w:bookmarkStart w:id="2533" w:name="_Toc486580139"/>
      <w:bookmarkStart w:id="2534" w:name="_Toc342296472"/>
      <w:bookmarkStart w:id="2535" w:name="_Toc483668168"/>
      <w:bookmarkStart w:id="2536" w:name="_Toc489279950"/>
      <w:bookmarkStart w:id="2537" w:name="_Toc480486993"/>
      <w:bookmarkStart w:id="2538" w:name="_Toc241459713"/>
      <w:bookmarkStart w:id="2539" w:name="_Toc490222584"/>
      <w:bookmarkStart w:id="2540" w:name="_Toc480486821"/>
      <w:bookmarkStart w:id="2541" w:name="_Toc476479360"/>
      <w:bookmarkStart w:id="2542" w:name="_Toc117350508"/>
      <w:r>
        <w:t xml:space="preserve">13.7  </w:t>
      </w:r>
      <w:r>
        <w:rPr>
          <w:rFonts w:hint="eastAsia"/>
        </w:rPr>
        <w:t>质量争议</w:t>
      </w:r>
      <w:bookmarkEnd w:id="2533"/>
      <w:bookmarkEnd w:id="2534"/>
      <w:bookmarkEnd w:id="2535"/>
      <w:bookmarkEnd w:id="2536"/>
      <w:bookmarkEnd w:id="2537"/>
      <w:bookmarkEnd w:id="2538"/>
      <w:bookmarkEnd w:id="2539"/>
      <w:bookmarkEnd w:id="2540"/>
      <w:bookmarkEnd w:id="2541"/>
      <w:bookmarkEnd w:id="2542"/>
    </w:p>
    <w:p>
      <w:pPr>
        <w:spacing w:line="360" w:lineRule="auto"/>
        <w:ind w:firstLine="420" w:firstLineChars="200"/>
        <w:rPr>
          <w:rFonts w:ascii="宋体"/>
        </w:rPr>
      </w:pPr>
      <w:r>
        <w:rPr>
          <w:rFonts w:hint="eastAsia" w:ascii="宋体" w:hAnsi="宋体"/>
          <w:szCs w:val="21"/>
        </w:rPr>
        <w:t>发包人和承包人对工程质量有争议的，除可按第</w:t>
      </w:r>
      <w:r>
        <w:rPr>
          <w:rFonts w:ascii="宋体" w:hAnsi="宋体"/>
          <w:szCs w:val="21"/>
        </w:rPr>
        <w:t>24</w:t>
      </w:r>
      <w:r>
        <w:rPr>
          <w:rFonts w:hint="eastAsia" w:ascii="宋体" w:hAnsi="宋体"/>
          <w:szCs w:val="21"/>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pPr>
        <w:pStyle w:val="144"/>
        <w:spacing w:before="120" w:after="120"/>
      </w:pPr>
      <w:bookmarkStart w:id="2543" w:name="_Toc144974671"/>
      <w:bookmarkStart w:id="2544" w:name="_Toc179632720"/>
      <w:bookmarkStart w:id="2545" w:name="_Toc489279951"/>
      <w:bookmarkStart w:id="2546" w:name="_Toc480486994"/>
      <w:bookmarkStart w:id="2547" w:name="_Toc490222585"/>
      <w:bookmarkStart w:id="2548" w:name="_Toc480486822"/>
      <w:bookmarkStart w:id="2549" w:name="_Toc152042480"/>
      <w:bookmarkStart w:id="2550" w:name="_Toc483668169"/>
      <w:bookmarkStart w:id="2551" w:name="_Toc152045702"/>
      <w:bookmarkStart w:id="2552" w:name="_Toc486580140"/>
      <w:bookmarkStart w:id="2553" w:name="_Toc342296353"/>
      <w:bookmarkStart w:id="2554" w:name="_Toc338944795"/>
      <w:bookmarkStart w:id="2555" w:name="_Toc117350509"/>
      <w:r>
        <w:t>14.</w:t>
      </w:r>
      <w:r>
        <w:rPr>
          <w:rFonts w:hint="eastAsia"/>
        </w:rPr>
        <w:t>试验和检验</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pPr>
        <w:pStyle w:val="155"/>
        <w:spacing w:before="120" w:after="120"/>
      </w:pPr>
      <w:bookmarkStart w:id="2556" w:name="_Toc342296354"/>
      <w:bookmarkStart w:id="2557" w:name="_Toc490222586"/>
      <w:bookmarkStart w:id="2558" w:name="_Toc480486995"/>
      <w:bookmarkStart w:id="2559" w:name="_Toc483668170"/>
      <w:bookmarkStart w:id="2560" w:name="_Toc489279952"/>
      <w:bookmarkStart w:id="2561" w:name="_Toc179632721"/>
      <w:bookmarkStart w:id="2562" w:name="_Toc480486823"/>
      <w:bookmarkStart w:id="2563" w:name="_Toc338944796"/>
      <w:bookmarkStart w:id="2564" w:name="_Toc152042481"/>
      <w:bookmarkStart w:id="2565" w:name="_Toc152045703"/>
      <w:bookmarkStart w:id="2566" w:name="_Toc144974672"/>
      <w:bookmarkStart w:id="2567" w:name="_Toc486580141"/>
      <w:bookmarkStart w:id="2568" w:name="_Toc117350510"/>
      <w:r>
        <w:t xml:space="preserve">14.1  </w:t>
      </w:r>
      <w:r>
        <w:rPr>
          <w:rFonts w:hint="eastAsia"/>
        </w:rPr>
        <w:t>材料、工程设备和工程的试验和检验</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pPr>
        <w:spacing w:line="360" w:lineRule="auto"/>
        <w:ind w:firstLine="420" w:firstLineChars="200"/>
        <w:rPr>
          <w:rFonts w:ascii="宋体"/>
        </w:rPr>
      </w:pPr>
      <w:r>
        <w:rPr>
          <w:rFonts w:ascii="宋体" w:hAnsi="宋体"/>
        </w:rPr>
        <w:t xml:space="preserve">14.1.1  </w:t>
      </w:r>
      <w:r>
        <w:rPr>
          <w:rFonts w:hint="eastAsia" w:ascii="宋体" w:hAnsi="宋体"/>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rFonts w:ascii="宋体"/>
        </w:rPr>
      </w:pPr>
      <w:r>
        <w:rPr>
          <w:rFonts w:ascii="宋体" w:hAnsi="宋体"/>
        </w:rPr>
        <w:t xml:space="preserve">14.1.2  </w:t>
      </w:r>
      <w:r>
        <w:rPr>
          <w:rFonts w:hint="eastAsia" w:ascii="宋体" w:hAnsi="宋体"/>
        </w:rPr>
        <w:t>监理人未按合同约定派员参加试验和检验的，除监理人另有指示外，承包人可自行试验和检验，并应立即将试验和检验结果报送监理人，监理人应签字确认。</w:t>
      </w:r>
    </w:p>
    <w:p>
      <w:pPr>
        <w:spacing w:line="360" w:lineRule="auto"/>
        <w:ind w:firstLine="420" w:firstLineChars="200"/>
        <w:rPr>
          <w:rFonts w:ascii="宋体"/>
        </w:rPr>
      </w:pPr>
      <w:r>
        <w:rPr>
          <w:rFonts w:ascii="宋体" w:hAnsi="宋体"/>
        </w:rPr>
        <w:t xml:space="preserve">14.1.3  </w:t>
      </w:r>
      <w:r>
        <w:rPr>
          <w:rFonts w:hint="eastAsia" w:ascii="宋体" w:hAnsi="宋体"/>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155"/>
        <w:spacing w:before="120" w:after="120"/>
      </w:pPr>
      <w:bookmarkStart w:id="2569" w:name="_Toc480486824"/>
      <w:bookmarkStart w:id="2570" w:name="_Toc179632722"/>
      <w:bookmarkStart w:id="2571" w:name="_Toc480486996"/>
      <w:bookmarkStart w:id="2572" w:name="_Toc152045704"/>
      <w:bookmarkStart w:id="2573" w:name="_Toc338944797"/>
      <w:bookmarkStart w:id="2574" w:name="_Toc489279953"/>
      <w:bookmarkStart w:id="2575" w:name="_Toc144974673"/>
      <w:bookmarkStart w:id="2576" w:name="_Toc490222587"/>
      <w:bookmarkStart w:id="2577" w:name="_Toc152042482"/>
      <w:bookmarkStart w:id="2578" w:name="_Toc486580142"/>
      <w:bookmarkStart w:id="2579" w:name="_Toc342296355"/>
      <w:bookmarkStart w:id="2580" w:name="_Toc483668171"/>
      <w:bookmarkStart w:id="2581" w:name="_Toc117350511"/>
      <w:r>
        <w:t xml:space="preserve">14.2  </w:t>
      </w:r>
      <w:r>
        <w:rPr>
          <w:rFonts w:hint="eastAsia"/>
        </w:rPr>
        <w:t>现场材料试验</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pPr>
        <w:spacing w:line="360" w:lineRule="auto"/>
        <w:ind w:firstLine="420" w:firstLineChars="200"/>
        <w:rPr>
          <w:rFonts w:ascii="宋体"/>
        </w:rPr>
      </w:pPr>
      <w:r>
        <w:rPr>
          <w:rFonts w:ascii="宋体" w:hAnsi="宋体"/>
        </w:rPr>
        <w:t xml:space="preserve">14.2.1  </w:t>
      </w:r>
      <w:r>
        <w:rPr>
          <w:rFonts w:hint="eastAsia" w:ascii="宋体" w:hAnsi="宋体"/>
        </w:rPr>
        <w:t>承包人根据合同约定或监理人指示进行的现场材料试验，应由承包人提供试验场所、试验人员、试验设备器材以及其他必要的试验条件。</w:t>
      </w:r>
    </w:p>
    <w:p>
      <w:pPr>
        <w:spacing w:line="360" w:lineRule="auto"/>
        <w:ind w:firstLine="420" w:firstLineChars="200"/>
        <w:rPr>
          <w:rFonts w:ascii="宋体"/>
        </w:rPr>
      </w:pPr>
      <w:r>
        <w:rPr>
          <w:rFonts w:ascii="宋体" w:hAnsi="宋体"/>
        </w:rPr>
        <w:t xml:space="preserve">14.2.2  </w:t>
      </w:r>
      <w:r>
        <w:rPr>
          <w:rFonts w:hint="eastAsia" w:ascii="宋体" w:hAnsi="宋体"/>
        </w:rPr>
        <w:t>监理人在必要时可以使用承包人的试验场所、试验设备器材以及其他试验条件，进行以工程质量检查为目的的复核性材料试验，承包人应予以协助。</w:t>
      </w:r>
    </w:p>
    <w:p>
      <w:pPr>
        <w:pStyle w:val="155"/>
        <w:spacing w:before="120" w:after="120"/>
      </w:pPr>
      <w:bookmarkStart w:id="2582" w:name="_Toc342296356"/>
      <w:bookmarkStart w:id="2583" w:name="_Toc490222588"/>
      <w:bookmarkStart w:id="2584" w:name="_Toc179632723"/>
      <w:bookmarkStart w:id="2585" w:name="_Toc489279954"/>
      <w:bookmarkStart w:id="2586" w:name="_Toc480486825"/>
      <w:bookmarkStart w:id="2587" w:name="_Toc152042483"/>
      <w:bookmarkStart w:id="2588" w:name="_Toc144974674"/>
      <w:bookmarkStart w:id="2589" w:name="_Toc486580143"/>
      <w:bookmarkStart w:id="2590" w:name="_Toc480486997"/>
      <w:bookmarkStart w:id="2591" w:name="_Toc338944798"/>
      <w:bookmarkStart w:id="2592" w:name="_Toc152045705"/>
      <w:bookmarkStart w:id="2593" w:name="_Toc483668172"/>
      <w:bookmarkStart w:id="2594" w:name="_Toc117350512"/>
      <w:r>
        <w:t xml:space="preserve">14.3  </w:t>
      </w:r>
      <w:r>
        <w:rPr>
          <w:rFonts w:hint="eastAsia"/>
        </w:rPr>
        <w:t>现场工艺试验</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pPr>
        <w:spacing w:line="360" w:lineRule="auto"/>
        <w:ind w:firstLine="420" w:firstLineChars="200"/>
        <w:rPr>
          <w:rFonts w:ascii="宋体"/>
        </w:rPr>
      </w:pPr>
      <w:r>
        <w:rPr>
          <w:rFonts w:hint="eastAsia" w:ascii="宋体" w:hAnsi="宋体"/>
        </w:rPr>
        <w:t>承包人应按合同约定或监理人指示进行现场工艺试验。对大型的现场工艺试验，监理人认为必要时，应由承包人根据监理人提出的工艺试验要求，编制工艺试验措施计划，报送监理人审批。</w:t>
      </w:r>
    </w:p>
    <w:p>
      <w:pPr>
        <w:pStyle w:val="144"/>
        <w:spacing w:before="120" w:after="120"/>
      </w:pPr>
      <w:bookmarkStart w:id="2595" w:name="_Toc480486826"/>
      <w:bookmarkStart w:id="2596" w:name="_Toc489279955"/>
      <w:bookmarkStart w:id="2597" w:name="_Toc486580144"/>
      <w:bookmarkStart w:id="2598" w:name="_Toc480486998"/>
      <w:bookmarkStart w:id="2599" w:name="_Toc342296357"/>
      <w:bookmarkStart w:id="2600" w:name="_Toc483668173"/>
      <w:bookmarkStart w:id="2601" w:name="_Toc490222589"/>
      <w:bookmarkStart w:id="2602" w:name="_Toc338944799"/>
      <w:bookmarkStart w:id="2603" w:name="_Toc117350513"/>
      <w:r>
        <w:t>15.</w:t>
      </w:r>
      <w:r>
        <w:rPr>
          <w:rFonts w:hint="eastAsia"/>
        </w:rPr>
        <w:t>变更</w:t>
      </w:r>
      <w:bookmarkEnd w:id="2595"/>
      <w:bookmarkEnd w:id="2596"/>
      <w:bookmarkEnd w:id="2597"/>
      <w:bookmarkEnd w:id="2598"/>
      <w:bookmarkEnd w:id="2599"/>
      <w:bookmarkEnd w:id="2600"/>
      <w:bookmarkEnd w:id="2601"/>
      <w:bookmarkEnd w:id="2602"/>
      <w:bookmarkEnd w:id="2603"/>
    </w:p>
    <w:p>
      <w:pPr>
        <w:pStyle w:val="155"/>
        <w:spacing w:before="120" w:after="120"/>
      </w:pPr>
      <w:bookmarkStart w:id="2604" w:name="_Toc342296358"/>
      <w:bookmarkStart w:id="2605" w:name="_Toc338944800"/>
      <w:bookmarkStart w:id="2606" w:name="_Toc490222590"/>
      <w:bookmarkStart w:id="2607" w:name="_Toc486580145"/>
      <w:bookmarkStart w:id="2608" w:name="_Toc480486999"/>
      <w:bookmarkStart w:id="2609" w:name="_Toc489279956"/>
      <w:bookmarkStart w:id="2610" w:name="_Toc483668174"/>
      <w:bookmarkStart w:id="2611" w:name="_Toc480486827"/>
      <w:bookmarkStart w:id="2612" w:name="_Toc117350514"/>
      <w:r>
        <w:t xml:space="preserve">15.1  </w:t>
      </w:r>
      <w:r>
        <w:rPr>
          <w:rFonts w:hint="eastAsia"/>
        </w:rPr>
        <w:t>变更的范围和内容</w:t>
      </w:r>
      <w:bookmarkEnd w:id="2604"/>
      <w:bookmarkEnd w:id="2605"/>
      <w:bookmarkEnd w:id="2606"/>
      <w:bookmarkEnd w:id="2607"/>
      <w:bookmarkEnd w:id="2608"/>
      <w:bookmarkEnd w:id="2609"/>
      <w:bookmarkEnd w:id="2610"/>
      <w:bookmarkEnd w:id="2611"/>
      <w:bookmarkEnd w:id="2612"/>
    </w:p>
    <w:p>
      <w:pPr>
        <w:spacing w:line="360" w:lineRule="auto"/>
        <w:ind w:firstLine="420" w:firstLineChars="200"/>
        <w:rPr>
          <w:rFonts w:ascii="宋体"/>
        </w:rPr>
      </w:pPr>
      <w:r>
        <w:rPr>
          <w:rFonts w:ascii="宋体" w:hAnsi="宋体"/>
        </w:rPr>
        <w:t xml:space="preserve">15.1.1  </w:t>
      </w:r>
      <w:r>
        <w:rPr>
          <w:rFonts w:hint="eastAsia" w:ascii="宋体" w:hAnsi="宋体"/>
        </w:rPr>
        <w:t>在履行合同中发生以下情形之一，应按照本条规定进行变更。</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）取消合同中任何一项工作，但被取消的工作不能转由发包人或其他人实施；</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）改变合同中任何一项工作的质量或其他特性；</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）改变合同工程的基线、标高、位置或尺寸；</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）改变合同中任何一项工作的施工时间或改变已批准的施工工艺或顺序；</w:t>
      </w:r>
    </w:p>
    <w:p>
      <w:pPr>
        <w:spacing w:line="360" w:lineRule="auto"/>
        <w:ind w:firstLine="315" w:firstLineChars="150"/>
        <w:rPr>
          <w:rFonts w:ascii="宋体"/>
        </w:rPr>
      </w:pPr>
      <w:r>
        <w:rPr>
          <w:rFonts w:hint="eastAsia" w:ascii="宋体" w:hAnsi="宋体"/>
        </w:rPr>
        <w:t>（</w:t>
      </w:r>
      <w:r>
        <w:rPr>
          <w:rFonts w:ascii="宋体" w:hAnsi="宋体"/>
        </w:rPr>
        <w:t>5</w:t>
      </w:r>
      <w:r>
        <w:rPr>
          <w:rFonts w:hint="eastAsia" w:ascii="宋体" w:hAnsi="宋体"/>
        </w:rPr>
        <w:t>）为完成工程需要追加的额外工作；</w:t>
      </w:r>
    </w:p>
    <w:p>
      <w:pPr>
        <w:spacing w:line="360" w:lineRule="auto"/>
        <w:ind w:firstLine="315" w:firstLineChars="150"/>
        <w:rPr>
          <w:rFonts w:ascii="宋体"/>
        </w:rPr>
      </w:pPr>
      <w:r>
        <w:rPr>
          <w:rFonts w:hint="eastAsia" w:ascii="宋体" w:hAnsi="宋体"/>
        </w:rPr>
        <w:t>（</w:t>
      </w:r>
      <w:r>
        <w:rPr>
          <w:rFonts w:ascii="宋体" w:hAnsi="宋体"/>
        </w:rPr>
        <w:t>6</w:t>
      </w:r>
      <w:r>
        <w:rPr>
          <w:rFonts w:hint="eastAsia" w:ascii="宋体" w:hAnsi="宋体"/>
        </w:rPr>
        <w:t>）</w:t>
      </w:r>
      <w:r>
        <w:rPr>
          <w:rFonts w:hint="eastAsia" w:ascii="宋体" w:hAnsi="宋体"/>
          <w:szCs w:val="21"/>
        </w:rPr>
        <w:t>变更的其他情形</w:t>
      </w:r>
      <w:r>
        <w:rPr>
          <w:rFonts w:hint="eastAsia" w:ascii="黑体" w:hAnsi="黑体" w:eastAsia="黑体"/>
        </w:rPr>
        <w:t>见合同条款专用部分。</w:t>
      </w:r>
    </w:p>
    <w:p>
      <w:pPr>
        <w:spacing w:line="360" w:lineRule="auto"/>
        <w:ind w:firstLine="420" w:firstLineChars="200"/>
        <w:rPr>
          <w:rFonts w:ascii="宋体"/>
          <w:szCs w:val="21"/>
        </w:rPr>
      </w:pPr>
      <w:r>
        <w:rPr>
          <w:rFonts w:ascii="宋体" w:hAnsi="宋体"/>
          <w:szCs w:val="21"/>
        </w:rPr>
        <w:t xml:space="preserve">15.1.2  </w:t>
      </w:r>
      <w:r>
        <w:rPr>
          <w:rFonts w:hint="eastAsia" w:ascii="宋体" w:hAnsi="宋体"/>
          <w:szCs w:val="21"/>
        </w:rPr>
        <w:t>发包人违背第</w:t>
      </w:r>
      <w:r>
        <w:rPr>
          <w:rFonts w:ascii="宋体" w:hAnsi="宋体"/>
          <w:szCs w:val="21"/>
        </w:rPr>
        <w:t>15.1</w:t>
      </w:r>
      <w:r>
        <w:rPr>
          <w:rFonts w:hint="eastAsia" w:ascii="宋体" w:hAnsi="宋体"/>
          <w:szCs w:val="21"/>
        </w:rPr>
        <w:t>（</w:t>
      </w:r>
      <w:r>
        <w:rPr>
          <w:rFonts w:ascii="宋体" w:hAnsi="宋体"/>
          <w:szCs w:val="21"/>
        </w:rPr>
        <w:t>1</w:t>
      </w:r>
      <w:r>
        <w:rPr>
          <w:rFonts w:hint="eastAsia" w:ascii="宋体" w:hAnsi="宋体"/>
          <w:szCs w:val="21"/>
        </w:rPr>
        <w:t>）目的约定，将被取消的合同中的工作转由发包人或其他人实施的，承包人可向监理人发出通知，要求发包人采取有效措施纠正违约行为，发包人在监理人收到承包人通知后</w:t>
      </w:r>
      <w:r>
        <w:rPr>
          <w:rFonts w:ascii="宋体" w:hAnsi="宋体"/>
          <w:szCs w:val="21"/>
        </w:rPr>
        <w:t>28</w:t>
      </w:r>
      <w:r>
        <w:rPr>
          <w:rFonts w:hint="eastAsia" w:ascii="宋体" w:hAnsi="宋体"/>
          <w:szCs w:val="21"/>
        </w:rPr>
        <w:t>天内仍不纠正违约行为的，应当赔偿承包人损失（包括合理的利润）并承担由此引起的其他责任。承包人应当按第</w:t>
      </w:r>
      <w:r>
        <w:rPr>
          <w:rFonts w:ascii="宋体" w:hAnsi="宋体"/>
          <w:szCs w:val="21"/>
        </w:rPr>
        <w:t>23.1</w:t>
      </w:r>
      <w:r>
        <w:rPr>
          <w:rFonts w:hint="eastAsia" w:ascii="宋体" w:hAnsi="宋体"/>
          <w:szCs w:val="21"/>
        </w:rPr>
        <w:t>（</w:t>
      </w:r>
      <w:r>
        <w:rPr>
          <w:rFonts w:ascii="宋体" w:hAnsi="宋体"/>
          <w:szCs w:val="21"/>
        </w:rPr>
        <w:t>1</w:t>
      </w:r>
      <w:r>
        <w:rPr>
          <w:rFonts w:hint="eastAsia" w:ascii="宋体" w:hAnsi="宋体"/>
          <w:szCs w:val="21"/>
        </w:rPr>
        <w:t>）项的约定，在上述</w:t>
      </w:r>
      <w:r>
        <w:rPr>
          <w:rFonts w:ascii="宋体" w:hAnsi="宋体"/>
          <w:szCs w:val="21"/>
        </w:rPr>
        <w:t>28</w:t>
      </w:r>
      <w:r>
        <w:rPr>
          <w:rFonts w:hint="eastAsia" w:ascii="宋体" w:hAnsi="宋体"/>
          <w:szCs w:val="21"/>
        </w:rPr>
        <w:t>天期限到期后的</w:t>
      </w:r>
      <w:r>
        <w:rPr>
          <w:rFonts w:ascii="宋体" w:hAnsi="宋体"/>
          <w:szCs w:val="21"/>
        </w:rPr>
        <w:t>28</w:t>
      </w:r>
      <w:r>
        <w:rPr>
          <w:rFonts w:hint="eastAsia" w:ascii="宋体" w:hAnsi="宋体"/>
          <w:szCs w:val="21"/>
        </w:rPr>
        <w:t>天内，向监理人递交索赔意向通知书</w:t>
      </w:r>
      <w:r>
        <w:rPr>
          <w:rFonts w:ascii="宋体"/>
          <w:szCs w:val="21"/>
        </w:rPr>
        <w:t>,</w:t>
      </w:r>
      <w:r>
        <w:rPr>
          <w:rFonts w:hint="eastAsia" w:ascii="宋体" w:hAnsi="宋体"/>
          <w:szCs w:val="21"/>
        </w:rPr>
        <w:t>并按第</w:t>
      </w:r>
      <w:r>
        <w:rPr>
          <w:rFonts w:ascii="宋体" w:hAnsi="宋体"/>
          <w:szCs w:val="21"/>
        </w:rPr>
        <w:t>23.1</w:t>
      </w:r>
      <w:r>
        <w:rPr>
          <w:rFonts w:hint="eastAsia" w:ascii="宋体" w:hAnsi="宋体"/>
          <w:szCs w:val="21"/>
        </w:rPr>
        <w:t>（</w:t>
      </w:r>
      <w:r>
        <w:rPr>
          <w:rFonts w:ascii="宋体" w:hAnsi="宋体"/>
          <w:szCs w:val="21"/>
        </w:rPr>
        <w:t>2</w:t>
      </w:r>
      <w:r>
        <w:rPr>
          <w:rFonts w:hint="eastAsia" w:ascii="宋体" w:hAnsi="宋体"/>
          <w:szCs w:val="21"/>
        </w:rPr>
        <w:t>）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pPr>
        <w:pStyle w:val="155"/>
        <w:spacing w:before="120" w:after="120"/>
      </w:pPr>
      <w:bookmarkStart w:id="2613" w:name="_Toc490222591"/>
      <w:bookmarkStart w:id="2614" w:name="_Toc338944801"/>
      <w:bookmarkStart w:id="2615" w:name="_Toc179632726"/>
      <w:bookmarkStart w:id="2616" w:name="_Toc489279957"/>
      <w:bookmarkStart w:id="2617" w:name="_Toc342296359"/>
      <w:bookmarkStart w:id="2618" w:name="_Toc480486828"/>
      <w:bookmarkStart w:id="2619" w:name="_Toc144974677"/>
      <w:bookmarkStart w:id="2620" w:name="_Toc483668175"/>
      <w:bookmarkStart w:id="2621" w:name="_Toc152045708"/>
      <w:bookmarkStart w:id="2622" w:name="_Toc480487000"/>
      <w:bookmarkStart w:id="2623" w:name="_Toc152042486"/>
      <w:bookmarkStart w:id="2624" w:name="_Toc486580146"/>
      <w:bookmarkStart w:id="2625" w:name="_Toc117350515"/>
      <w:r>
        <w:t xml:space="preserve">15.2  </w:t>
      </w:r>
      <w:r>
        <w:rPr>
          <w:rFonts w:hint="eastAsia"/>
        </w:rPr>
        <w:t>变更权</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pPr>
        <w:spacing w:line="360" w:lineRule="auto"/>
        <w:ind w:firstLine="420" w:firstLineChars="200"/>
        <w:rPr>
          <w:rFonts w:ascii="宋体"/>
        </w:rPr>
      </w:pPr>
      <w:r>
        <w:rPr>
          <w:rFonts w:hint="eastAsia" w:ascii="宋体" w:hAnsi="宋体"/>
        </w:rPr>
        <w:t>在履行合同过程中，经发包人同意，监理人可按第</w:t>
      </w:r>
      <w:r>
        <w:rPr>
          <w:rFonts w:ascii="宋体" w:hAnsi="宋体"/>
        </w:rPr>
        <w:t>15.3</w:t>
      </w:r>
      <w:r>
        <w:rPr>
          <w:rFonts w:hint="eastAsia" w:ascii="宋体" w:hAnsi="宋体"/>
        </w:rPr>
        <w:t>款约定的变更程序向承包人作出变更指示，承包人应遵照执行。没有监理人的变更指示，承包人不得擅自变更。</w:t>
      </w:r>
    </w:p>
    <w:p>
      <w:pPr>
        <w:pStyle w:val="155"/>
        <w:spacing w:before="120" w:after="120"/>
      </w:pPr>
      <w:bookmarkStart w:id="2626" w:name="_Toc338944802"/>
      <w:bookmarkStart w:id="2627" w:name="_Toc486580147"/>
      <w:bookmarkStart w:id="2628" w:name="_Toc490222592"/>
      <w:bookmarkStart w:id="2629" w:name="_Toc480487001"/>
      <w:bookmarkStart w:id="2630" w:name="_Toc480486829"/>
      <w:bookmarkStart w:id="2631" w:name="_Toc489279958"/>
      <w:bookmarkStart w:id="2632" w:name="_Toc342296360"/>
      <w:bookmarkStart w:id="2633" w:name="_Toc483668176"/>
      <w:bookmarkStart w:id="2634" w:name="_Toc117350516"/>
      <w:r>
        <w:t xml:space="preserve">15.3  </w:t>
      </w:r>
      <w:r>
        <w:rPr>
          <w:rFonts w:hint="eastAsia"/>
        </w:rPr>
        <w:t>变更程序</w:t>
      </w:r>
      <w:bookmarkEnd w:id="2626"/>
      <w:bookmarkEnd w:id="2627"/>
      <w:bookmarkEnd w:id="2628"/>
      <w:bookmarkEnd w:id="2629"/>
      <w:bookmarkEnd w:id="2630"/>
      <w:bookmarkEnd w:id="2631"/>
      <w:bookmarkEnd w:id="2632"/>
      <w:bookmarkEnd w:id="2633"/>
      <w:bookmarkEnd w:id="2634"/>
    </w:p>
    <w:p>
      <w:pPr>
        <w:spacing w:line="360" w:lineRule="auto"/>
        <w:ind w:firstLine="420" w:firstLineChars="200"/>
        <w:rPr>
          <w:rFonts w:ascii="宋体"/>
        </w:rPr>
      </w:pPr>
      <w:r>
        <w:rPr>
          <w:rFonts w:ascii="宋体" w:hAnsi="宋体"/>
        </w:rPr>
        <w:t xml:space="preserve">15.3.1  </w:t>
      </w:r>
      <w:r>
        <w:rPr>
          <w:rFonts w:hint="eastAsia" w:ascii="宋体" w:hAnsi="宋体"/>
        </w:rPr>
        <w:t>变更的提出</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）在合同履行过程中，可能发生第</w:t>
      </w:r>
      <w:r>
        <w:rPr>
          <w:rFonts w:ascii="宋体" w:hAnsi="宋体"/>
        </w:rPr>
        <w:t>15.1.1</w:t>
      </w:r>
      <w:r>
        <w:rPr>
          <w:rFonts w:hint="eastAsia" w:ascii="宋体" w:hAnsi="宋体"/>
        </w:rPr>
        <w:t>项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ascii="宋体" w:hAnsi="宋体"/>
        </w:rPr>
        <w:t>15.3.3</w:t>
      </w:r>
      <w:r>
        <w:rPr>
          <w:rFonts w:hint="eastAsia" w:ascii="宋体" w:hAnsi="宋体"/>
        </w:rPr>
        <w:t>项约定发出变更指示。</w:t>
      </w:r>
      <w:r>
        <w:rPr>
          <w:rFonts w:ascii="宋体" w:hAnsi="宋体"/>
        </w:rPr>
        <w:t xml:space="preserve"> </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）在合同履行过程中，发生第</w:t>
      </w:r>
      <w:r>
        <w:rPr>
          <w:rFonts w:ascii="宋体" w:hAnsi="宋体"/>
        </w:rPr>
        <w:t>15.1.1</w:t>
      </w:r>
      <w:r>
        <w:rPr>
          <w:rFonts w:hint="eastAsia" w:ascii="宋体" w:hAnsi="宋体"/>
        </w:rPr>
        <w:t>项约定情形的，监理人应按照第</w:t>
      </w:r>
      <w:r>
        <w:rPr>
          <w:rFonts w:ascii="宋体" w:hAnsi="宋体"/>
        </w:rPr>
        <w:t>15.3.3</w:t>
      </w:r>
      <w:r>
        <w:rPr>
          <w:rFonts w:hint="eastAsia" w:ascii="宋体" w:hAnsi="宋体"/>
        </w:rPr>
        <w:t>项约定向承包人发出变更指示。</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）承包人收到监理人按合同约定发出的图纸和文件，经检查认为其中存在第</w:t>
      </w:r>
      <w:r>
        <w:rPr>
          <w:rFonts w:ascii="宋体" w:hAnsi="宋体"/>
        </w:rPr>
        <w:t>15.1.1</w:t>
      </w:r>
      <w:r>
        <w:rPr>
          <w:rFonts w:hint="eastAsia" w:ascii="宋体" w:hAnsi="宋体"/>
        </w:rPr>
        <w:t>项约定情形的，可向监理人提出书面变更建议。变更建议应阐明要求变更的依据，并附必要的图纸和说明。监理人收到承包人书面建议后，应与发包人共同研究，确认存在变更的，应在收到承包人书面建议后的</w:t>
      </w:r>
      <w:r>
        <w:rPr>
          <w:rFonts w:ascii="宋体" w:hAnsi="宋体"/>
        </w:rPr>
        <w:t>14</w:t>
      </w:r>
      <w:r>
        <w:rPr>
          <w:rFonts w:hint="eastAsia" w:ascii="宋体" w:hAnsi="宋体"/>
        </w:rPr>
        <w:t>天内作出变更指示。经研究后不同意作为变更的，应由监理人书面答复承包人。</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rFonts w:ascii="宋体"/>
        </w:rPr>
      </w:pPr>
      <w:r>
        <w:rPr>
          <w:rFonts w:ascii="宋体" w:hAnsi="宋体"/>
        </w:rPr>
        <w:t xml:space="preserve">15.3.2  </w:t>
      </w:r>
      <w:r>
        <w:rPr>
          <w:rFonts w:hint="eastAsia" w:ascii="宋体" w:hAnsi="宋体"/>
        </w:rPr>
        <w:t>变更估价</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）除合同条款专用部分对期限另有约定外，承包人应在收到变更指示或变更意向书后的</w:t>
      </w:r>
      <w:r>
        <w:rPr>
          <w:rFonts w:ascii="宋体" w:hAnsi="宋体"/>
        </w:rPr>
        <w:t>14</w:t>
      </w:r>
      <w:r>
        <w:rPr>
          <w:rFonts w:hint="eastAsia" w:ascii="宋体" w:hAnsi="宋体"/>
        </w:rPr>
        <w:t>天内，向监理人提交变更报价书，报价内容应根据第</w:t>
      </w:r>
      <w:r>
        <w:rPr>
          <w:rFonts w:ascii="宋体" w:hAnsi="宋体"/>
        </w:rPr>
        <w:t>15.4</w:t>
      </w:r>
      <w:r>
        <w:rPr>
          <w:rFonts w:hint="eastAsia" w:ascii="宋体" w:hAnsi="宋体"/>
        </w:rPr>
        <w:t>款约定的估价原则，详细开列变更工作的价格组成及其依据，并附必要的施工方法说明和有关图纸。</w:t>
      </w:r>
      <w:r>
        <w:rPr>
          <w:rFonts w:hint="eastAsia" w:ascii="宋体" w:hAnsi="宋体"/>
          <w:szCs w:val="21"/>
        </w:rPr>
        <w:t>承包人提交变更报价书的期限</w:t>
      </w:r>
      <w:r>
        <w:rPr>
          <w:rFonts w:hint="eastAsia" w:ascii="黑体" w:hAnsi="黑体" w:eastAsia="黑体"/>
        </w:rPr>
        <w:t>见合同条款专用部分。</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）变更工作影响工期的，承包人应提出调整工期的具体细节。监理人认为有必要时，可要求承包人提交要求提前或延长工期的施工进度计划，及相应施工措施等详细资料。</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）除合同条款专用部分对期限另有约定外，监理人收到承包人变更报价书后的</w:t>
      </w:r>
      <w:r>
        <w:rPr>
          <w:rFonts w:ascii="宋体" w:hAnsi="宋体"/>
        </w:rPr>
        <w:t>14</w:t>
      </w:r>
      <w:r>
        <w:rPr>
          <w:rFonts w:hint="eastAsia" w:ascii="宋体" w:hAnsi="宋体"/>
        </w:rPr>
        <w:t>天内，根据第</w:t>
      </w:r>
      <w:r>
        <w:rPr>
          <w:rFonts w:ascii="宋体" w:hAnsi="宋体"/>
        </w:rPr>
        <w:t>15.4</w:t>
      </w:r>
      <w:r>
        <w:rPr>
          <w:rFonts w:hint="eastAsia" w:ascii="宋体" w:hAnsi="宋体"/>
        </w:rPr>
        <w:t>款约定的估价原则，按照第</w:t>
      </w:r>
      <w:r>
        <w:rPr>
          <w:rFonts w:ascii="宋体" w:hAnsi="宋体"/>
        </w:rPr>
        <w:t>3.5</w:t>
      </w:r>
      <w:r>
        <w:rPr>
          <w:rFonts w:hint="eastAsia" w:ascii="宋体" w:hAnsi="宋体"/>
        </w:rPr>
        <w:t>款商定或确定变更价格。</w:t>
      </w:r>
      <w:r>
        <w:rPr>
          <w:rFonts w:hint="eastAsia" w:ascii="宋体" w:hAnsi="宋体"/>
          <w:szCs w:val="21"/>
        </w:rPr>
        <w:t>监理人商定或确定变更价格的期限</w:t>
      </w:r>
      <w:r>
        <w:rPr>
          <w:rFonts w:hint="eastAsia" w:ascii="黑体" w:hAnsi="黑体" w:eastAsia="黑体"/>
        </w:rPr>
        <w:t>见合同条款专用部分。</w:t>
      </w:r>
    </w:p>
    <w:p>
      <w:pPr>
        <w:spacing w:line="360" w:lineRule="auto"/>
        <w:ind w:firstLine="315" w:firstLineChars="150"/>
        <w:rPr>
          <w:rFonts w:ascii="宋体"/>
        </w:rPr>
      </w:pPr>
      <w:r>
        <w:rPr>
          <w:rFonts w:hint="eastAsia" w:ascii="宋体" w:hAnsi="宋体"/>
          <w:szCs w:val="21"/>
        </w:rPr>
        <w:t>（</w:t>
      </w:r>
      <w:r>
        <w:rPr>
          <w:rFonts w:ascii="宋体" w:hAnsi="宋体"/>
          <w:szCs w:val="21"/>
        </w:rPr>
        <w:t>4</w:t>
      </w:r>
      <w:r>
        <w:rPr>
          <w:rFonts w:hint="eastAsia" w:ascii="宋体" w:hAnsi="宋体"/>
          <w:szCs w:val="21"/>
        </w:rPr>
        <w:t>）收到变更指示后，如承包人未在规定的期限内提交变更报价书的，监理人可自行决定是否调整合同价款以及如果监理人决定调整合同价款时，相应调整的具体金额。</w:t>
      </w:r>
    </w:p>
    <w:p>
      <w:pPr>
        <w:spacing w:line="360" w:lineRule="auto"/>
        <w:ind w:firstLine="420" w:firstLineChars="200"/>
        <w:rPr>
          <w:rFonts w:ascii="宋体"/>
        </w:rPr>
      </w:pPr>
      <w:r>
        <w:rPr>
          <w:rFonts w:ascii="宋体" w:hAnsi="宋体"/>
        </w:rPr>
        <w:t xml:space="preserve">15.3.3  </w:t>
      </w:r>
      <w:r>
        <w:rPr>
          <w:rFonts w:hint="eastAsia" w:ascii="宋体" w:hAnsi="宋体"/>
        </w:rPr>
        <w:t>变更指示</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）变更指示只能由监理人发出。</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）变更指示应说明变更的目的、范围、变更内容以及变更的工程量及其进度和技术要求，并附有关图纸和文件。承包人收到变更指示后，应按变更指示进行变更工作。</w:t>
      </w:r>
    </w:p>
    <w:p>
      <w:pPr>
        <w:pStyle w:val="155"/>
        <w:spacing w:before="120" w:after="120"/>
      </w:pPr>
      <w:bookmarkStart w:id="2635" w:name="_Toc483668177"/>
      <w:bookmarkStart w:id="2636" w:name="_Toc342296361"/>
      <w:bookmarkStart w:id="2637" w:name="_Toc480486830"/>
      <w:bookmarkStart w:id="2638" w:name="_Toc480487002"/>
      <w:bookmarkStart w:id="2639" w:name="_Toc338944803"/>
      <w:bookmarkStart w:id="2640" w:name="_Toc486580148"/>
      <w:bookmarkStart w:id="2641" w:name="_Toc489279959"/>
      <w:bookmarkStart w:id="2642" w:name="_Toc490222593"/>
      <w:bookmarkStart w:id="2643" w:name="_Toc117350517"/>
      <w:r>
        <w:t xml:space="preserve">15.4  </w:t>
      </w:r>
      <w:r>
        <w:rPr>
          <w:rFonts w:hint="eastAsia"/>
        </w:rPr>
        <w:t>变更的估价原则</w:t>
      </w:r>
      <w:bookmarkEnd w:id="2635"/>
      <w:bookmarkEnd w:id="2636"/>
      <w:bookmarkEnd w:id="2637"/>
      <w:bookmarkEnd w:id="2638"/>
      <w:bookmarkEnd w:id="2639"/>
      <w:bookmarkEnd w:id="2640"/>
      <w:bookmarkEnd w:id="2641"/>
      <w:bookmarkEnd w:id="2642"/>
      <w:bookmarkEnd w:id="2643"/>
    </w:p>
    <w:p>
      <w:pPr>
        <w:spacing w:line="360" w:lineRule="auto"/>
        <w:ind w:firstLine="420" w:firstLineChars="200"/>
        <w:rPr>
          <w:rFonts w:ascii="宋体"/>
        </w:rPr>
      </w:pPr>
      <w:r>
        <w:rPr>
          <w:rFonts w:hint="eastAsia" w:ascii="宋体" w:hAnsi="宋体"/>
        </w:rPr>
        <w:t>因</w:t>
      </w:r>
      <w:r>
        <w:rPr>
          <w:rFonts w:hint="eastAsia" w:ascii="宋体" w:hAnsi="宋体"/>
          <w:szCs w:val="21"/>
        </w:rPr>
        <w:t>工程量清单漏项（仅适用于合同协议书约定采用单价合同形式时）或</w:t>
      </w:r>
      <w:r>
        <w:rPr>
          <w:rFonts w:hint="eastAsia" w:ascii="宋体" w:hAnsi="宋体"/>
        </w:rPr>
        <w:t>变更引起的价格调整按照本款约定处理。</w:t>
      </w:r>
    </w:p>
    <w:p>
      <w:pPr>
        <w:spacing w:line="360" w:lineRule="auto"/>
        <w:ind w:firstLine="420" w:firstLineChars="200"/>
        <w:rPr>
          <w:rFonts w:ascii="宋体"/>
        </w:rPr>
      </w:pPr>
      <w:r>
        <w:rPr>
          <w:rFonts w:ascii="宋体" w:hAnsi="宋体"/>
        </w:rPr>
        <w:t xml:space="preserve">15.4.1  </w:t>
      </w:r>
      <w:r>
        <w:rPr>
          <w:rFonts w:hint="eastAsia" w:ascii="宋体" w:hAnsi="宋体"/>
        </w:rPr>
        <w:t>已标价工程量清单中有适用于变更工作的子目的，采用该子目的单价。</w:t>
      </w:r>
    </w:p>
    <w:p>
      <w:pPr>
        <w:spacing w:line="360" w:lineRule="auto"/>
        <w:ind w:firstLine="420" w:firstLineChars="200"/>
        <w:rPr>
          <w:rFonts w:ascii="宋体"/>
        </w:rPr>
      </w:pPr>
      <w:r>
        <w:rPr>
          <w:rFonts w:ascii="宋体" w:hAnsi="宋体"/>
        </w:rPr>
        <w:t xml:space="preserve">15.4.2  </w:t>
      </w:r>
      <w:r>
        <w:rPr>
          <w:rFonts w:hint="eastAsia" w:ascii="宋体" w:hAnsi="宋体"/>
        </w:rPr>
        <w:t>已标价工程量清单中无适用于变更工作的子目，但有类似子目的，可在合理范围内参照类似子目的单价，由监理人按第</w:t>
      </w:r>
      <w:r>
        <w:rPr>
          <w:rFonts w:ascii="宋体" w:hAnsi="宋体"/>
        </w:rPr>
        <w:t>3.5</w:t>
      </w:r>
      <w:r>
        <w:rPr>
          <w:rFonts w:hint="eastAsia" w:ascii="宋体" w:hAnsi="宋体"/>
        </w:rPr>
        <w:t>款商定或确定变更工作的单价。</w:t>
      </w:r>
    </w:p>
    <w:p>
      <w:pPr>
        <w:spacing w:line="360" w:lineRule="auto"/>
        <w:ind w:firstLine="420" w:firstLineChars="200"/>
        <w:rPr>
          <w:rFonts w:ascii="宋体"/>
        </w:rPr>
      </w:pPr>
      <w:r>
        <w:rPr>
          <w:rFonts w:ascii="宋体" w:hAnsi="宋体"/>
        </w:rPr>
        <w:t xml:space="preserve">15.4.3  </w:t>
      </w:r>
      <w:r>
        <w:rPr>
          <w:rFonts w:hint="eastAsia" w:ascii="宋体" w:hAnsi="宋体"/>
        </w:rPr>
        <w:t>已标价工程量清单中无适用或类似子目的单价，可按照成本加利润的原则，由监理人按第</w:t>
      </w:r>
      <w:r>
        <w:rPr>
          <w:rFonts w:ascii="宋体" w:hAnsi="宋体"/>
        </w:rPr>
        <w:t>3.5</w:t>
      </w:r>
      <w:r>
        <w:rPr>
          <w:rFonts w:hint="eastAsia" w:ascii="宋体" w:hAnsi="宋体"/>
        </w:rPr>
        <w:t>款商定或确定变更工作的单价。</w:t>
      </w:r>
    </w:p>
    <w:p>
      <w:pPr>
        <w:spacing w:line="360" w:lineRule="auto"/>
        <w:ind w:firstLine="420" w:firstLineChars="200"/>
        <w:rPr>
          <w:rFonts w:ascii="宋体"/>
          <w:szCs w:val="21"/>
        </w:rPr>
      </w:pPr>
      <w:r>
        <w:rPr>
          <w:rFonts w:ascii="宋体" w:hAnsi="宋体"/>
        </w:rPr>
        <w:t xml:space="preserve">15.4.4  </w:t>
      </w:r>
      <w:r>
        <w:rPr>
          <w:rFonts w:hint="eastAsia" w:ascii="宋体" w:hAnsi="宋体"/>
          <w:szCs w:val="21"/>
        </w:rPr>
        <w:t>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w:t>
      </w:r>
      <w:r>
        <w:rPr>
          <w:rFonts w:ascii="宋体" w:hAnsi="宋体"/>
          <w:szCs w:val="21"/>
        </w:rPr>
        <w:t>3.5</w:t>
      </w:r>
      <w:r>
        <w:rPr>
          <w:rFonts w:hint="eastAsia" w:ascii="宋体" w:hAnsi="宋体"/>
          <w:szCs w:val="21"/>
        </w:rPr>
        <w:t>款商定或确定变更措施项目的费用。</w:t>
      </w:r>
    </w:p>
    <w:p>
      <w:pPr>
        <w:spacing w:line="360" w:lineRule="auto"/>
        <w:ind w:firstLine="420" w:firstLineChars="200"/>
        <w:rPr>
          <w:rFonts w:ascii="宋体"/>
        </w:rPr>
      </w:pPr>
      <w:r>
        <w:rPr>
          <w:rFonts w:ascii="宋体" w:hAnsi="宋体"/>
        </w:rPr>
        <w:t xml:space="preserve">15.4.5  </w:t>
      </w:r>
      <w:r>
        <w:rPr>
          <w:rFonts w:hint="eastAsia" w:ascii="宋体" w:hAnsi="宋体"/>
          <w:szCs w:val="21"/>
        </w:rPr>
        <w:t>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w:t>
      </w:r>
      <w:r>
        <w:rPr>
          <w:rFonts w:hint="eastAsia" w:ascii="黑体" w:hAnsi="黑体" w:eastAsia="黑体"/>
          <w:szCs w:val="21"/>
        </w:rPr>
        <w:t>见合同条款专用部分。</w:t>
      </w:r>
    </w:p>
    <w:p>
      <w:pPr>
        <w:spacing w:line="360" w:lineRule="auto"/>
        <w:ind w:firstLine="420" w:firstLineChars="200"/>
        <w:rPr>
          <w:rFonts w:ascii="宋体"/>
        </w:rPr>
      </w:pPr>
      <w:r>
        <w:rPr>
          <w:rFonts w:ascii="宋体" w:hAnsi="宋体"/>
        </w:rPr>
        <w:t xml:space="preserve">15.4.6  </w:t>
      </w:r>
      <w:r>
        <w:rPr>
          <w:rFonts w:hint="eastAsia" w:ascii="宋体" w:hAnsi="宋体"/>
          <w:szCs w:val="21"/>
        </w:rPr>
        <w:t>因变更引起价格调整的其他处理方式</w:t>
      </w:r>
      <w:r>
        <w:rPr>
          <w:rFonts w:hint="eastAsia" w:ascii="黑体" w:hAnsi="黑体" w:eastAsia="黑体"/>
          <w:szCs w:val="21"/>
        </w:rPr>
        <w:t>见合同条款专用部分。</w:t>
      </w:r>
    </w:p>
    <w:p>
      <w:pPr>
        <w:pStyle w:val="155"/>
        <w:spacing w:before="120" w:after="120"/>
      </w:pPr>
      <w:bookmarkStart w:id="2644" w:name="_Toc480486831"/>
      <w:bookmarkStart w:id="2645" w:name="_Toc486580149"/>
      <w:bookmarkStart w:id="2646" w:name="_Toc483668178"/>
      <w:bookmarkStart w:id="2647" w:name="_Toc480487003"/>
      <w:bookmarkStart w:id="2648" w:name="_Toc342296362"/>
      <w:bookmarkStart w:id="2649" w:name="_Toc490222594"/>
      <w:bookmarkStart w:id="2650" w:name="_Toc338944804"/>
      <w:bookmarkStart w:id="2651" w:name="_Toc489279960"/>
      <w:bookmarkStart w:id="2652" w:name="_Toc117350518"/>
      <w:r>
        <w:t xml:space="preserve">15.5  </w:t>
      </w:r>
      <w:r>
        <w:rPr>
          <w:rFonts w:hint="eastAsia"/>
        </w:rPr>
        <w:t>承包人的合理化建议</w:t>
      </w:r>
      <w:bookmarkEnd w:id="2644"/>
      <w:bookmarkEnd w:id="2645"/>
      <w:bookmarkEnd w:id="2646"/>
      <w:bookmarkEnd w:id="2647"/>
      <w:bookmarkEnd w:id="2648"/>
      <w:bookmarkEnd w:id="2649"/>
      <w:bookmarkEnd w:id="2650"/>
      <w:bookmarkEnd w:id="2651"/>
      <w:bookmarkEnd w:id="2652"/>
    </w:p>
    <w:p>
      <w:pPr>
        <w:spacing w:line="360" w:lineRule="auto"/>
        <w:ind w:firstLine="420" w:firstLineChars="200"/>
        <w:rPr>
          <w:rFonts w:ascii="宋体"/>
        </w:rPr>
      </w:pPr>
      <w:r>
        <w:rPr>
          <w:rFonts w:ascii="宋体" w:hAnsi="宋体"/>
        </w:rPr>
        <w:t xml:space="preserve">15.5.1  </w:t>
      </w:r>
      <w:r>
        <w:rPr>
          <w:rFonts w:hint="eastAsia" w:ascii="宋体" w:hAnsi="宋体"/>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ascii="宋体" w:hAnsi="宋体"/>
        </w:rPr>
        <w:t>15.3.3</w:t>
      </w:r>
      <w:r>
        <w:rPr>
          <w:rFonts w:hint="eastAsia" w:ascii="宋体" w:hAnsi="宋体"/>
        </w:rPr>
        <w:t>项约定向承包人发出变更指示。</w:t>
      </w:r>
    </w:p>
    <w:p>
      <w:pPr>
        <w:spacing w:line="360" w:lineRule="auto"/>
        <w:ind w:firstLine="420" w:firstLineChars="200"/>
        <w:rPr>
          <w:rFonts w:ascii="宋体"/>
        </w:rPr>
      </w:pPr>
      <w:r>
        <w:rPr>
          <w:rFonts w:ascii="宋体" w:hAnsi="宋体"/>
        </w:rPr>
        <w:t xml:space="preserve">15.5.2  </w:t>
      </w:r>
      <w:r>
        <w:rPr>
          <w:rFonts w:hint="eastAsia" w:ascii="宋体" w:hAnsi="宋体"/>
        </w:rPr>
        <w:t>承包人提出的合理化建议降低了合同价格、缩短了工期或者提高了工程经济效益的，发包人可按国家有关规定给予奖励。</w:t>
      </w:r>
      <w:r>
        <w:rPr>
          <w:rFonts w:hint="eastAsia" w:ascii="宋体" w:hAnsi="宋体"/>
          <w:szCs w:val="21"/>
        </w:rPr>
        <w:t>对承包人提出合理化建议的奖励方法</w:t>
      </w:r>
      <w:r>
        <w:rPr>
          <w:rFonts w:hint="eastAsia" w:ascii="黑体" w:hAnsi="黑体" w:eastAsia="黑体"/>
          <w:szCs w:val="21"/>
        </w:rPr>
        <w:t>见合同条款专用部分。</w:t>
      </w:r>
    </w:p>
    <w:p>
      <w:pPr>
        <w:pStyle w:val="155"/>
        <w:spacing w:before="120" w:after="120"/>
      </w:pPr>
      <w:bookmarkStart w:id="2653" w:name="_Toc486580150"/>
      <w:bookmarkStart w:id="2654" w:name="_Toc480486832"/>
      <w:bookmarkStart w:id="2655" w:name="_Toc144974681"/>
      <w:bookmarkStart w:id="2656" w:name="_Toc480487004"/>
      <w:bookmarkStart w:id="2657" w:name="_Toc179632730"/>
      <w:bookmarkStart w:id="2658" w:name="_Toc342296363"/>
      <w:bookmarkStart w:id="2659" w:name="_Toc489279961"/>
      <w:bookmarkStart w:id="2660" w:name="_Toc338944805"/>
      <w:bookmarkStart w:id="2661" w:name="_Toc483668179"/>
      <w:bookmarkStart w:id="2662" w:name="_Toc490222595"/>
      <w:bookmarkStart w:id="2663" w:name="_Toc152042490"/>
      <w:bookmarkStart w:id="2664" w:name="_Toc152045712"/>
      <w:bookmarkStart w:id="2665" w:name="_Toc117350519"/>
      <w:r>
        <w:t xml:space="preserve">15.6  </w:t>
      </w:r>
      <w:r>
        <w:rPr>
          <w:rFonts w:hint="eastAsia"/>
        </w:rPr>
        <w:t>暂列金额</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pPr>
        <w:spacing w:line="360" w:lineRule="auto"/>
        <w:ind w:firstLine="420" w:firstLineChars="200"/>
        <w:rPr>
          <w:rFonts w:ascii="宋体"/>
        </w:rPr>
      </w:pPr>
      <w:r>
        <w:rPr>
          <w:rFonts w:hint="eastAsia" w:ascii="宋体" w:hAnsi="宋体"/>
        </w:rPr>
        <w:t>暂列金额只能按照监理人的指示使用，并对合同价格进行相应调整。</w:t>
      </w:r>
    </w:p>
    <w:p>
      <w:pPr>
        <w:pStyle w:val="155"/>
        <w:spacing w:before="120" w:after="120"/>
      </w:pPr>
      <w:bookmarkStart w:id="2666" w:name="_Toc179632731"/>
      <w:bookmarkStart w:id="2667" w:name="_Toc486580151"/>
      <w:bookmarkStart w:id="2668" w:name="_Toc144974682"/>
      <w:bookmarkStart w:id="2669" w:name="_Toc483668180"/>
      <w:bookmarkStart w:id="2670" w:name="_Toc152042491"/>
      <w:bookmarkStart w:id="2671" w:name="_Toc489279962"/>
      <w:bookmarkStart w:id="2672" w:name="_Toc490222596"/>
      <w:bookmarkStart w:id="2673" w:name="_Toc152045713"/>
      <w:bookmarkStart w:id="2674" w:name="_Toc480487005"/>
      <w:bookmarkStart w:id="2675" w:name="_Toc338944806"/>
      <w:bookmarkStart w:id="2676" w:name="_Toc342296364"/>
      <w:bookmarkStart w:id="2677" w:name="_Toc480486833"/>
      <w:bookmarkStart w:id="2678" w:name="_Toc117350520"/>
      <w:r>
        <w:t xml:space="preserve">15.7  </w:t>
      </w:r>
      <w:r>
        <w:rPr>
          <w:rFonts w:hint="eastAsia"/>
        </w:rPr>
        <w:t>计日工</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pPr>
        <w:spacing w:line="360" w:lineRule="auto"/>
        <w:ind w:firstLine="420" w:firstLineChars="200"/>
        <w:rPr>
          <w:rFonts w:ascii="宋体"/>
        </w:rPr>
      </w:pPr>
      <w:r>
        <w:rPr>
          <w:rFonts w:ascii="宋体" w:hAnsi="宋体"/>
        </w:rPr>
        <w:t xml:space="preserve">15.7.1  </w:t>
      </w:r>
      <w:r>
        <w:rPr>
          <w:rFonts w:hint="eastAsia" w:ascii="宋体" w:hAnsi="宋体"/>
        </w:rPr>
        <w:t>发包人认为有必要时，</w:t>
      </w:r>
      <w:r>
        <w:rPr>
          <w:rFonts w:hint="eastAsia" w:ascii="宋体" w:hAnsi="宋体"/>
          <w:szCs w:val="21"/>
        </w:rPr>
        <w:t>由</w:t>
      </w:r>
      <w:r>
        <w:rPr>
          <w:rFonts w:hint="eastAsia" w:ascii="宋体" w:hAnsi="宋体"/>
        </w:rPr>
        <w:t>监理人通知承包人以计日工方式实施变更的零星工作。其价款按列入已标价工程量清单中的计日工计价子目及其单价进行计算。</w:t>
      </w:r>
    </w:p>
    <w:p>
      <w:pPr>
        <w:spacing w:line="360" w:lineRule="auto"/>
        <w:ind w:firstLine="420" w:firstLineChars="200"/>
        <w:rPr>
          <w:rFonts w:ascii="宋体"/>
        </w:rPr>
      </w:pPr>
      <w:r>
        <w:rPr>
          <w:rFonts w:ascii="宋体" w:hAnsi="宋体"/>
        </w:rPr>
        <w:t xml:space="preserve">15.7.2  </w:t>
      </w:r>
      <w:r>
        <w:rPr>
          <w:rFonts w:hint="eastAsia" w:ascii="宋体" w:hAnsi="宋体"/>
        </w:rPr>
        <w:t>采用计日工计价的任何一项变更工作，应从暂列金额中支付，承包人应在该项变更的实施过程中，每天提交以下报表和有关凭证报送监理人审批：</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）工作名称、内容和数量；</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）投入该工作所有人员的姓名、工种、级别和耗用工时；</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）投入该工作的材料类别和数量；</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）投入该工作的施工设备型号、台数和耗用台时；</w:t>
      </w:r>
    </w:p>
    <w:p>
      <w:pPr>
        <w:spacing w:line="360" w:lineRule="auto"/>
        <w:ind w:firstLine="315" w:firstLineChars="150"/>
        <w:rPr>
          <w:rFonts w:ascii="宋体"/>
        </w:rPr>
      </w:pPr>
      <w:r>
        <w:rPr>
          <w:rFonts w:hint="eastAsia" w:ascii="宋体" w:hAnsi="宋体"/>
        </w:rPr>
        <w:t>（</w:t>
      </w:r>
      <w:r>
        <w:rPr>
          <w:rFonts w:ascii="宋体" w:hAnsi="宋体"/>
        </w:rPr>
        <w:t>5</w:t>
      </w:r>
      <w:r>
        <w:rPr>
          <w:rFonts w:hint="eastAsia" w:ascii="宋体" w:hAnsi="宋体"/>
        </w:rPr>
        <w:t>）监理人要求提交的其他资料和凭证。</w:t>
      </w:r>
    </w:p>
    <w:p>
      <w:pPr>
        <w:spacing w:line="360" w:lineRule="auto"/>
        <w:ind w:firstLine="420" w:firstLineChars="200"/>
        <w:rPr>
          <w:rFonts w:ascii="宋体"/>
        </w:rPr>
      </w:pPr>
      <w:r>
        <w:rPr>
          <w:rFonts w:ascii="宋体" w:hAnsi="宋体"/>
        </w:rPr>
        <w:t xml:space="preserve">15.7.3  </w:t>
      </w:r>
      <w:r>
        <w:rPr>
          <w:rFonts w:hint="eastAsia" w:ascii="宋体" w:hAnsi="宋体"/>
        </w:rPr>
        <w:t>计日工由承包人汇总后，按第</w:t>
      </w:r>
      <w:r>
        <w:rPr>
          <w:rFonts w:ascii="宋体" w:hAnsi="宋体"/>
        </w:rPr>
        <w:t>17.3.2</w:t>
      </w:r>
      <w:r>
        <w:rPr>
          <w:rFonts w:hint="eastAsia" w:ascii="宋体" w:hAnsi="宋体"/>
        </w:rPr>
        <w:t>项的约定列入进度付款申请单，由监理人复核并经发包人同意后列入进度付款。</w:t>
      </w:r>
    </w:p>
    <w:p>
      <w:pPr>
        <w:pStyle w:val="155"/>
        <w:spacing w:before="120" w:after="120"/>
      </w:pPr>
      <w:bookmarkStart w:id="2679" w:name="_Toc480487006"/>
      <w:bookmarkStart w:id="2680" w:name="_Toc489279963"/>
      <w:bookmarkStart w:id="2681" w:name="_Toc338944807"/>
      <w:bookmarkStart w:id="2682" w:name="_Toc486580152"/>
      <w:bookmarkStart w:id="2683" w:name="_Toc480486834"/>
      <w:bookmarkStart w:id="2684" w:name="_Toc342296365"/>
      <w:bookmarkStart w:id="2685" w:name="_Toc490222597"/>
      <w:bookmarkStart w:id="2686" w:name="_Toc483668181"/>
      <w:bookmarkStart w:id="2687" w:name="_Toc117350521"/>
      <w:r>
        <w:t xml:space="preserve">15.8  </w:t>
      </w:r>
      <w:r>
        <w:rPr>
          <w:rFonts w:hint="eastAsia"/>
        </w:rPr>
        <w:t>暂估价</w:t>
      </w:r>
      <w:bookmarkEnd w:id="2679"/>
      <w:bookmarkEnd w:id="2680"/>
      <w:bookmarkEnd w:id="2681"/>
      <w:bookmarkEnd w:id="2682"/>
      <w:bookmarkEnd w:id="2683"/>
      <w:bookmarkEnd w:id="2684"/>
      <w:bookmarkEnd w:id="2685"/>
      <w:bookmarkEnd w:id="2686"/>
      <w:bookmarkEnd w:id="2687"/>
    </w:p>
    <w:p>
      <w:pPr>
        <w:spacing w:line="360" w:lineRule="auto"/>
        <w:ind w:firstLine="420" w:firstLineChars="200"/>
        <w:rPr>
          <w:rFonts w:ascii="宋体"/>
        </w:rPr>
      </w:pPr>
      <w:r>
        <w:rPr>
          <w:rFonts w:ascii="宋体" w:hAnsi="宋体"/>
        </w:rPr>
        <w:t xml:space="preserve">15.8.1  </w:t>
      </w:r>
      <w:r>
        <w:rPr>
          <w:rFonts w:hint="eastAsia" w:ascii="宋体" w:hAnsi="宋体"/>
        </w:rPr>
        <w:t>发包人在工程量清单中给定暂估价的材料和工程设备及专业工程属于依法必须招标的范围并达到规定的规模标准的，由发包人和承包人</w:t>
      </w:r>
      <w:r>
        <w:rPr>
          <w:rFonts w:hint="eastAsia" w:ascii="宋体" w:hAnsi="宋体"/>
          <w:szCs w:val="21"/>
        </w:rPr>
        <w:t>采用招标方式选择专项供应商或专业分包人</w:t>
      </w:r>
      <w:r>
        <w:rPr>
          <w:rFonts w:hint="eastAsia" w:ascii="宋体" w:hAnsi="宋体"/>
        </w:rPr>
        <w:t>。发包人和承包人的权利义务关系约定如下：</w:t>
      </w:r>
      <w:r>
        <w:rPr>
          <w:rFonts w:ascii="宋体" w:hAnsi="宋体"/>
        </w:rPr>
        <w:t xml:space="preserve"> </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）由承包人作为招标人，依法组织招标工作并接受有管辖权的建设工程招标投标行政监督部门的监督。</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）与组织招标工作有关的费用应当被认为已经包括在承包人的签约合同价（投标总报价）中。</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）中标金额与工程量清单中所列的暂估价的金额差以及相应的税金等其他费用列入合同价格。</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应当在合同条款专用部分约定期限内给予批准或者提出修改意见。承包人应当严格按照经过发包人批准的招标工作计划开展招标工作。</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5</w:t>
      </w:r>
      <w:r>
        <w:rPr>
          <w:rFonts w:hint="eastAsia" w:ascii="宋体" w:hAnsi="宋体"/>
          <w:szCs w:val="21"/>
        </w:rPr>
        <w:t>）承包人应当在发出招标公告（或者资格预审公告或者投标邀请书）、资格预审文件和招标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6</w:t>
      </w:r>
      <w:r>
        <w:rPr>
          <w:rFonts w:hint="eastAsia" w:ascii="宋体" w:hAnsi="宋体"/>
          <w:szCs w:val="21"/>
        </w:rPr>
        <w:t>）如果发、承包任何一方委派评标代表，评标委员会应当由七人以上单数构成。除发包人或者承包人自愿放弃委派评标代表的权利外，招标人评标代表应当分别由发包人和承包人等额委派。</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7</w:t>
      </w:r>
      <w:r>
        <w:rPr>
          <w:rFonts w:hint="eastAsia" w:ascii="宋体" w:hAnsi="宋体"/>
          <w:szCs w:val="21"/>
        </w:rPr>
        <w:t>）设有标底的，承包人应当在开标前提前</w:t>
      </w:r>
      <w:r>
        <w:rPr>
          <w:rFonts w:ascii="宋体" w:hAnsi="宋体"/>
          <w:szCs w:val="21"/>
        </w:rPr>
        <w:t>48</w:t>
      </w:r>
      <w:r>
        <w:rPr>
          <w:rFonts w:hint="eastAsia" w:ascii="宋体" w:hAnsi="宋体"/>
          <w:szCs w:val="21"/>
        </w:rPr>
        <w:t>小时将标底报发包人审核认可，发包人应当在收到承包人报送的标底后</w:t>
      </w:r>
      <w:r>
        <w:rPr>
          <w:rFonts w:ascii="宋体" w:hAnsi="宋体"/>
          <w:szCs w:val="21"/>
        </w:rPr>
        <w:t>24</w:t>
      </w:r>
      <w:r>
        <w:rPr>
          <w:rFonts w:hint="eastAsia" w:ascii="宋体" w:hAnsi="宋体"/>
          <w:szCs w:val="21"/>
        </w:rPr>
        <w:t>小时内给予批准或者提出修改意见。承包人和发包人应当共同制定标底保密措施，不得提前泄露标底。标底的最终审核和决定权属于发包人。</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8</w:t>
      </w:r>
      <w:r>
        <w:rPr>
          <w:rFonts w:hint="eastAsia" w:ascii="宋体" w:hAnsi="宋体"/>
          <w:szCs w:val="21"/>
        </w:rPr>
        <w:t>）设有招标控制价的，承包人应当在招标文件发出前提前</w:t>
      </w:r>
      <w:r>
        <w:rPr>
          <w:rFonts w:ascii="宋体" w:hAnsi="宋体"/>
          <w:szCs w:val="21"/>
        </w:rPr>
        <w:t>7</w:t>
      </w:r>
      <w:r>
        <w:rPr>
          <w:rFonts w:hint="eastAsia" w:ascii="宋体" w:hAnsi="宋体"/>
          <w:szCs w:val="21"/>
        </w:rPr>
        <w:t>天将招标控制价报发包人审核认可，发包人应当在收到承包人报送的招标控制价后</w:t>
      </w:r>
      <w:r>
        <w:rPr>
          <w:rFonts w:ascii="宋体" w:hAnsi="宋体"/>
          <w:szCs w:val="21"/>
        </w:rPr>
        <w:t>72</w:t>
      </w:r>
      <w:r>
        <w:rPr>
          <w:rFonts w:hint="eastAsia" w:ascii="宋体" w:hAnsi="宋体"/>
          <w:szCs w:val="21"/>
        </w:rPr>
        <w:t>小时内给予认可或者提出修改意见。招标控制价的最终审核和决定权属于发包人，未经发包人认可，承包人不得发出招标文件。</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9</w:t>
      </w:r>
      <w:r>
        <w:rPr>
          <w:rFonts w:hint="eastAsia" w:ascii="宋体" w:hAnsi="宋体"/>
          <w:szCs w:val="21"/>
        </w:rPr>
        <w:t>）承包人在收到相关招标项目评标委员会提交的评标报告后，应当在</w:t>
      </w:r>
      <w:r>
        <w:rPr>
          <w:rFonts w:ascii="宋体" w:hAnsi="宋体"/>
          <w:szCs w:val="21"/>
        </w:rPr>
        <w:t>24</w:t>
      </w:r>
      <w:r>
        <w:rPr>
          <w:rFonts w:hint="eastAsia" w:ascii="宋体" w:hAnsi="宋体"/>
          <w:szCs w:val="21"/>
        </w:rPr>
        <w:t>小时内通过监理人转报发包人核查，发包人应当在监理人收到承包人报送的评标报告后</w:t>
      </w:r>
      <w:r>
        <w:rPr>
          <w:rFonts w:ascii="宋体" w:hAnsi="宋体"/>
          <w:szCs w:val="21"/>
        </w:rPr>
        <w:t>48</w:t>
      </w:r>
      <w:r>
        <w:rPr>
          <w:rFonts w:hint="eastAsia" w:ascii="宋体" w:hAnsi="宋体"/>
          <w:szCs w:val="21"/>
        </w:rPr>
        <w:t>小时内核查完毕，评标报告经过发包人核查认可后，承包人才可以开始后续程序，依法确定中标人并发出中标通知书。</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10</w:t>
      </w:r>
      <w:r>
        <w:rPr>
          <w:rFonts w:hint="eastAsia" w:ascii="宋体" w:hAnsi="宋体"/>
          <w:szCs w:val="21"/>
        </w:rPr>
        <w:t>）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pPr>
        <w:spacing w:line="360" w:lineRule="auto"/>
        <w:ind w:firstLine="315" w:firstLineChars="150"/>
        <w:rPr>
          <w:rFonts w:ascii="宋体"/>
          <w:szCs w:val="21"/>
        </w:rPr>
      </w:pPr>
      <w:r>
        <w:rPr>
          <w:rFonts w:hint="eastAsia" w:ascii="宋体" w:hAnsi="宋体"/>
          <w:szCs w:val="21"/>
        </w:rPr>
        <w:t>（</w:t>
      </w:r>
      <w:r>
        <w:rPr>
          <w:rFonts w:ascii="宋体" w:hAnsi="宋体"/>
          <w:szCs w:val="21"/>
        </w:rPr>
        <w:t>11</w:t>
      </w:r>
      <w:r>
        <w:rPr>
          <w:rFonts w:hint="eastAsia" w:ascii="宋体" w:hAnsi="宋体"/>
          <w:szCs w:val="21"/>
        </w:rPr>
        <w:t>）发包人对承包人报送文件进行审批或提出的修改意见应当合理，并符合现行有关法律法规的规定。</w:t>
      </w:r>
    </w:p>
    <w:p>
      <w:pPr>
        <w:spacing w:line="360" w:lineRule="auto"/>
        <w:ind w:firstLine="315" w:firstLineChars="150"/>
        <w:rPr>
          <w:rFonts w:ascii="宋体"/>
        </w:rPr>
      </w:pPr>
      <w:r>
        <w:rPr>
          <w:rFonts w:hint="eastAsia" w:ascii="宋体" w:hAnsi="宋体"/>
          <w:szCs w:val="21"/>
        </w:rPr>
        <w:t>（</w:t>
      </w:r>
      <w:r>
        <w:rPr>
          <w:rFonts w:ascii="宋体" w:hAnsi="宋体"/>
          <w:szCs w:val="21"/>
        </w:rPr>
        <w:t>12</w:t>
      </w:r>
      <w:r>
        <w:rPr>
          <w:rFonts w:hint="eastAsia" w:ascii="宋体" w:hAnsi="宋体"/>
          <w:szCs w:val="21"/>
        </w:rPr>
        <w:t>）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pPr>
        <w:spacing w:line="360" w:lineRule="auto"/>
        <w:ind w:firstLine="420" w:firstLineChars="200"/>
        <w:rPr>
          <w:rFonts w:ascii="宋体"/>
        </w:rPr>
      </w:pPr>
      <w:r>
        <w:rPr>
          <w:rFonts w:ascii="宋体" w:hAnsi="宋体"/>
        </w:rPr>
        <w:t xml:space="preserve">15.8.2  </w:t>
      </w:r>
      <w:r>
        <w:rPr>
          <w:rFonts w:hint="eastAsia" w:ascii="宋体" w:hAnsi="宋体"/>
        </w:rPr>
        <w:t>发包人在工程量清单中给定暂估价的材料和工程设备不属于依法必须招标的范围或未达到规定的规模标准的，应由承包人按第</w:t>
      </w:r>
      <w:r>
        <w:rPr>
          <w:rFonts w:ascii="宋体" w:hAnsi="宋体"/>
        </w:rPr>
        <w:t>5.1</w:t>
      </w:r>
      <w:r>
        <w:rPr>
          <w:rFonts w:hint="eastAsia" w:ascii="宋体" w:hAnsi="宋体"/>
        </w:rPr>
        <w:t>款的约定提供。经监理人确认的材料、工程设备的价格与工程量清单中所列的暂估价的金额差以及相应的税金等其他费用列入合同价格。</w:t>
      </w:r>
    </w:p>
    <w:p>
      <w:pPr>
        <w:spacing w:line="360" w:lineRule="auto"/>
        <w:ind w:firstLine="420" w:firstLineChars="200"/>
        <w:rPr>
          <w:rFonts w:ascii="宋体"/>
        </w:rPr>
      </w:pPr>
      <w:r>
        <w:rPr>
          <w:rFonts w:ascii="宋体" w:hAnsi="宋体"/>
        </w:rPr>
        <w:t xml:space="preserve">15.8.3  </w:t>
      </w:r>
      <w:r>
        <w:rPr>
          <w:rFonts w:hint="eastAsia" w:ascii="宋体" w:hAnsi="宋体"/>
        </w:rPr>
        <w:t>发包人在工程量清单中给定暂估价的专业工程不属于依法必须招标的范围或未达到规定的规模标准的，由监理人按照第</w:t>
      </w:r>
      <w:r>
        <w:rPr>
          <w:rFonts w:ascii="宋体" w:hAnsi="宋体"/>
        </w:rPr>
        <w:t>15.4</w:t>
      </w:r>
      <w:r>
        <w:rPr>
          <w:rFonts w:hint="eastAsia" w:ascii="宋体" w:hAnsi="宋体"/>
        </w:rPr>
        <w:t>款进行估价，但合同条款专用部分另有约定的除外。经估价的专业工程与工程量清单中所列的暂估价的金额差以及相应的税金等其他费用列入合同价格。</w:t>
      </w:r>
    </w:p>
    <w:p>
      <w:pPr>
        <w:pStyle w:val="144"/>
        <w:spacing w:before="120" w:after="120"/>
      </w:pPr>
      <w:bookmarkStart w:id="2688" w:name="_Toc338944808"/>
      <w:bookmarkStart w:id="2689" w:name="_Toc490222598"/>
      <w:bookmarkStart w:id="2690" w:name="_Toc480486835"/>
      <w:bookmarkStart w:id="2691" w:name="_Toc480487007"/>
      <w:bookmarkStart w:id="2692" w:name="_Toc342296366"/>
      <w:bookmarkStart w:id="2693" w:name="_Toc489279964"/>
      <w:bookmarkStart w:id="2694" w:name="_Toc486580153"/>
      <w:bookmarkStart w:id="2695" w:name="_Toc483668182"/>
      <w:bookmarkStart w:id="2696" w:name="_Toc117350522"/>
      <w:r>
        <w:t>16.</w:t>
      </w:r>
      <w:r>
        <w:rPr>
          <w:rFonts w:hint="eastAsia"/>
        </w:rPr>
        <w:t>价格调整</w:t>
      </w:r>
      <w:bookmarkEnd w:id="2688"/>
      <w:bookmarkEnd w:id="2689"/>
      <w:bookmarkEnd w:id="2690"/>
      <w:bookmarkEnd w:id="2691"/>
      <w:bookmarkEnd w:id="2692"/>
      <w:bookmarkEnd w:id="2693"/>
      <w:bookmarkEnd w:id="2694"/>
      <w:bookmarkEnd w:id="2695"/>
      <w:bookmarkEnd w:id="2696"/>
    </w:p>
    <w:p>
      <w:pPr>
        <w:pStyle w:val="155"/>
        <w:spacing w:before="120" w:after="120"/>
      </w:pPr>
      <w:bookmarkStart w:id="2697" w:name="_Toc486580154"/>
      <w:bookmarkStart w:id="2698" w:name="_Toc489279965"/>
      <w:bookmarkStart w:id="2699" w:name="_Toc338944809"/>
      <w:bookmarkStart w:id="2700" w:name="_Toc480486836"/>
      <w:bookmarkStart w:id="2701" w:name="_Toc342296367"/>
      <w:bookmarkStart w:id="2702" w:name="_Toc483668183"/>
      <w:bookmarkStart w:id="2703" w:name="_Toc480487008"/>
      <w:bookmarkStart w:id="2704" w:name="_Toc490222599"/>
      <w:bookmarkStart w:id="2705" w:name="_Toc117350523"/>
      <w:r>
        <w:t xml:space="preserve">16.1  </w:t>
      </w:r>
      <w:r>
        <w:rPr>
          <w:rFonts w:hint="eastAsia"/>
        </w:rPr>
        <w:t>物价波动引起的价格调整</w:t>
      </w:r>
      <w:bookmarkEnd w:id="2697"/>
      <w:bookmarkEnd w:id="2698"/>
      <w:bookmarkEnd w:id="2699"/>
      <w:bookmarkEnd w:id="2700"/>
      <w:bookmarkEnd w:id="2701"/>
      <w:bookmarkEnd w:id="2702"/>
      <w:bookmarkEnd w:id="2703"/>
      <w:bookmarkEnd w:id="2704"/>
      <w:bookmarkEnd w:id="2705"/>
    </w:p>
    <w:p>
      <w:pPr>
        <w:spacing w:line="360" w:lineRule="auto"/>
        <w:ind w:firstLine="420" w:firstLineChars="200"/>
      </w:pPr>
      <w:r>
        <w:rPr>
          <w:rFonts w:hint="eastAsia"/>
        </w:rPr>
        <w:t>除合同条款专用部分另有约定外，因物价波动引起的价格调整按照本款约定处理。</w:t>
      </w:r>
    </w:p>
    <w:p>
      <w:pPr>
        <w:spacing w:line="360" w:lineRule="auto"/>
        <w:ind w:firstLine="420" w:firstLineChars="200"/>
        <w:rPr>
          <w:rFonts w:ascii="宋体"/>
        </w:rPr>
      </w:pPr>
      <w:r>
        <w:rPr>
          <w:rFonts w:ascii="宋体" w:hAnsi="宋体"/>
        </w:rPr>
        <w:t xml:space="preserve">16.1.1 </w:t>
      </w:r>
      <w:r>
        <w:rPr>
          <w:rFonts w:hint="eastAsia" w:ascii="宋体" w:hAnsi="宋体"/>
        </w:rPr>
        <w:t>采用价格指数调整价格差额</w:t>
      </w:r>
    </w:p>
    <w:p>
      <w:pPr>
        <w:spacing w:line="360" w:lineRule="auto"/>
        <w:ind w:firstLine="630" w:firstLineChars="300"/>
        <w:rPr>
          <w:rFonts w:ascii="宋体"/>
        </w:rPr>
      </w:pPr>
      <w:bookmarkStart w:id="2706" w:name="_Toc429569374"/>
      <w:r>
        <w:rPr>
          <w:rFonts w:ascii="宋体" w:hAnsi="宋体"/>
        </w:rPr>
        <w:t xml:space="preserve">16.1.1.1 </w:t>
      </w:r>
      <w:r>
        <w:rPr>
          <w:rFonts w:hint="eastAsia" w:ascii="宋体" w:hAnsi="宋体"/>
        </w:rPr>
        <w:t>价格调整公式</w:t>
      </w:r>
      <w:bookmarkEnd w:id="2706"/>
    </w:p>
    <w:p>
      <w:pPr>
        <w:spacing w:line="360" w:lineRule="auto"/>
        <w:ind w:firstLine="630" w:firstLineChars="300"/>
      </w:pPr>
      <w:r>
        <w:rPr>
          <w:rFonts w:hint="eastAsia"/>
        </w:rPr>
        <w:t>因人工、材料和设备等价格波动影响合同价格时，根据投标函附录中的价格指数和权重表约定的数据，按以下公式计算差额并调整合同价格。</w:t>
      </w:r>
    </w:p>
    <w:p>
      <w:pPr>
        <w:autoSpaceDE w:val="0"/>
        <w:autoSpaceDN w:val="0"/>
        <w:adjustRightInd w:val="0"/>
        <w:spacing w:line="1200" w:lineRule="exact"/>
        <w:ind w:right="248" w:firstLine="759" w:firstLineChars="398"/>
      </w:pPr>
      <w:r>
        <w:rPr>
          <w:b/>
          <w:bCs/>
          <w:kern w:val="0"/>
          <w:sz w:val="19"/>
          <w:szCs w:val="19"/>
          <w:lang w:val="zh-CN"/>
        </w:rPr>
        <w:t xml:space="preserve">        </w:t>
      </w:r>
      <w:r>
        <w:rPr>
          <w:position w:val="-34"/>
        </w:rPr>
        <w:object>
          <v:shape id="_x0000_i1025" o:spt="75" type="#_x0000_t75" style="height:42.2pt;width:305.05pt;" o:ole="t" filled="f" o:preferrelative="t" stroked="f" coordsize="21600,21600">
            <v:path/>
            <v:fill on="f" focussize="0,0"/>
            <v:stroke on="f" joinstyle="miter"/>
            <v:imagedata r:id="rId29" o:title=""/>
            <o:lock v:ext="edit" aspectratio="t"/>
            <w10:wrap type="none"/>
            <w10:anchorlock/>
          </v:shape>
          <o:OLEObject Type="Embed" ProgID="Equation.3" ShapeID="_x0000_i1025" DrawAspect="Content" ObjectID="_1468075725" r:id="rId28">
            <o:LockedField>false</o:LockedField>
          </o:OLEObject>
        </w:object>
      </w:r>
    </w:p>
    <w:p>
      <w:pPr>
        <w:tabs>
          <w:tab w:val="left" w:pos="1260"/>
        </w:tabs>
        <w:spacing w:line="400" w:lineRule="exact"/>
        <w:ind w:firstLine="420" w:firstLineChars="200"/>
      </w:pPr>
      <w:r>
        <w:t xml:space="preserve"> </w:t>
      </w:r>
    </w:p>
    <w:p>
      <w:pPr>
        <w:tabs>
          <w:tab w:val="left" w:pos="1260"/>
        </w:tabs>
        <w:spacing w:line="360" w:lineRule="auto"/>
        <w:ind w:firstLine="420" w:firstLineChars="200"/>
      </w:pPr>
      <w:r>
        <w:rPr>
          <w:rFonts w:hint="eastAsia"/>
        </w:rPr>
        <w:t>式中：</w:t>
      </w:r>
      <w:r>
        <w:t xml:space="preserve"> </w:t>
      </w:r>
      <w:r>
        <w:rPr>
          <w:rFonts w:hint="eastAsia"/>
        </w:rPr>
        <w:t>△</w:t>
      </w:r>
      <w:r>
        <w:t xml:space="preserve">P -- </w:t>
      </w:r>
      <w:r>
        <w:rPr>
          <w:rFonts w:hint="eastAsia"/>
        </w:rPr>
        <w:t>需调整的价格差额；</w:t>
      </w:r>
    </w:p>
    <w:p>
      <w:pPr>
        <w:tabs>
          <w:tab w:val="left" w:pos="1260"/>
        </w:tabs>
        <w:spacing w:line="360" w:lineRule="auto"/>
      </w:pPr>
      <w:r>
        <w:tab/>
      </w:r>
      <w:r>
        <w:t>P</w:t>
      </w:r>
      <w:r>
        <w:rPr>
          <w:szCs w:val="21"/>
          <w:vertAlign w:val="subscript"/>
        </w:rPr>
        <w:t>0</w:t>
      </w:r>
      <w:r>
        <w:t xml:space="preserve"> -- </w:t>
      </w:r>
      <w:r>
        <w:rPr>
          <w:rFonts w:hint="eastAsia"/>
        </w:rPr>
        <w:t>第</w:t>
      </w:r>
      <w:r>
        <w:t>17.3.3</w:t>
      </w:r>
      <w:r>
        <w:rPr>
          <w:rFonts w:hint="eastAsia"/>
        </w:rPr>
        <w:t>项、第</w:t>
      </w:r>
      <w:r>
        <w:t>17.5.3</w:t>
      </w:r>
      <w:r>
        <w:rPr>
          <w:rFonts w:hint="eastAsia"/>
        </w:rPr>
        <w:t>项和第</w:t>
      </w:r>
      <w:r>
        <w:t>17.6.2</w:t>
      </w:r>
      <w:r>
        <w:rPr>
          <w:rFonts w:hint="eastAsia"/>
        </w:rPr>
        <w:t>项约定的付款证书中承包人应得到的已完成工程量的金额。此项金额应不包括价格调整、不计质量保证金的扣留和支付、预付款的支付和扣回。第</w:t>
      </w:r>
      <w:r>
        <w:t>15</w:t>
      </w:r>
      <w:r>
        <w:rPr>
          <w:rFonts w:hint="eastAsia"/>
        </w:rPr>
        <w:t>条约定的变更及其他金额已按现行价格计价的，也不计在内；</w:t>
      </w:r>
    </w:p>
    <w:p>
      <w:pPr>
        <w:tabs>
          <w:tab w:val="left" w:pos="1260"/>
        </w:tabs>
        <w:spacing w:line="360" w:lineRule="auto"/>
      </w:pPr>
      <w:r>
        <w:tab/>
      </w:r>
      <w:bookmarkStart w:id="2707" w:name="_Toc152042495"/>
      <w:bookmarkStart w:id="2708" w:name="_Toc144974686"/>
      <w:r>
        <w:t xml:space="preserve">A -- </w:t>
      </w:r>
      <w:r>
        <w:rPr>
          <w:rFonts w:hint="eastAsia"/>
        </w:rPr>
        <w:t>定值权重</w:t>
      </w:r>
      <w:r>
        <w:t>(</w:t>
      </w:r>
      <w:r>
        <w:rPr>
          <w:rFonts w:hint="eastAsia"/>
        </w:rPr>
        <w:t>即不调部分的权重</w:t>
      </w:r>
      <w:r>
        <w:t>)</w:t>
      </w:r>
      <w:r>
        <w:rPr>
          <w:rFonts w:hint="eastAsia"/>
        </w:rPr>
        <w:t>；</w:t>
      </w:r>
      <w:bookmarkEnd w:id="2707"/>
      <w:bookmarkEnd w:id="2708"/>
    </w:p>
    <w:p>
      <w:pPr>
        <w:tabs>
          <w:tab w:val="left" w:pos="1260"/>
        </w:tabs>
        <w:spacing w:line="360" w:lineRule="auto"/>
      </w:pPr>
      <w:r>
        <w:tab/>
      </w:r>
      <w:r>
        <w:t>B</w:t>
      </w:r>
      <w:r>
        <w:rPr>
          <w:szCs w:val="21"/>
          <w:vertAlign w:val="subscript"/>
        </w:rPr>
        <w:t>1</w:t>
      </w:r>
      <w:r>
        <w:rPr>
          <w:sz w:val="15"/>
          <w:szCs w:val="15"/>
        </w:rPr>
        <w:t>;</w:t>
      </w:r>
      <w:r>
        <w:t xml:space="preserve"> B</w:t>
      </w:r>
      <w:r>
        <w:rPr>
          <w:szCs w:val="21"/>
          <w:vertAlign w:val="subscript"/>
        </w:rPr>
        <w:t>2</w:t>
      </w:r>
      <w:r>
        <w:t xml:space="preserve"> ;B</w:t>
      </w:r>
      <w:r>
        <w:rPr>
          <w:szCs w:val="21"/>
          <w:vertAlign w:val="subscript"/>
        </w:rPr>
        <w:t>3</w:t>
      </w:r>
      <w:r>
        <w:rPr>
          <w:rFonts w:hint="eastAsia" w:ascii="宋体" w:hAnsi="宋体"/>
          <w:sz w:val="15"/>
          <w:szCs w:val="15"/>
        </w:rPr>
        <w:t>·····</w:t>
      </w:r>
      <w:r>
        <w:t>B</w:t>
      </w:r>
      <w:r>
        <w:rPr>
          <w:szCs w:val="21"/>
          <w:vertAlign w:val="subscript"/>
        </w:rPr>
        <w:t>n</w:t>
      </w:r>
      <w:r>
        <w:t xml:space="preserve"> -- </w:t>
      </w:r>
      <w:r>
        <w:rPr>
          <w:rFonts w:hint="eastAsia"/>
        </w:rPr>
        <w:t>各可调因子的变值权重</w:t>
      </w:r>
      <w:r>
        <w:t>(</w:t>
      </w:r>
      <w:r>
        <w:rPr>
          <w:rFonts w:hint="eastAsia"/>
        </w:rPr>
        <w:t>即可调部分的权重</w:t>
      </w:r>
      <w:r>
        <w:t>)</w:t>
      </w:r>
      <w:r>
        <w:rPr>
          <w:rFonts w:hint="eastAsia"/>
        </w:rPr>
        <w:t>为各可调因子在投标函投标总报价中所占的比例；</w:t>
      </w:r>
    </w:p>
    <w:p>
      <w:pPr>
        <w:tabs>
          <w:tab w:val="left" w:pos="1260"/>
        </w:tabs>
        <w:spacing w:line="360" w:lineRule="auto"/>
      </w:pPr>
      <w:r>
        <w:tab/>
      </w:r>
      <w:r>
        <w:t>F</w:t>
      </w:r>
      <w:r>
        <w:rPr>
          <w:szCs w:val="21"/>
          <w:vertAlign w:val="subscript"/>
        </w:rPr>
        <w:t>t1</w:t>
      </w:r>
      <w:r>
        <w:t xml:space="preserve"> ;F</w:t>
      </w:r>
      <w:r>
        <w:rPr>
          <w:szCs w:val="21"/>
          <w:vertAlign w:val="subscript"/>
        </w:rPr>
        <w:t>t2</w:t>
      </w:r>
      <w:r>
        <w:t xml:space="preserve"> ;F</w:t>
      </w:r>
      <w:r>
        <w:rPr>
          <w:szCs w:val="21"/>
          <w:vertAlign w:val="subscript"/>
        </w:rPr>
        <w:t>t3</w:t>
      </w:r>
      <w:r>
        <w:rPr>
          <w:rFonts w:hint="eastAsia" w:ascii="宋体" w:hAnsi="宋体"/>
          <w:sz w:val="15"/>
          <w:szCs w:val="15"/>
        </w:rPr>
        <w:t>·····</w:t>
      </w:r>
      <w:r>
        <w:t>F</w:t>
      </w:r>
      <w:r>
        <w:rPr>
          <w:szCs w:val="21"/>
          <w:vertAlign w:val="subscript"/>
        </w:rPr>
        <w:t>tn</w:t>
      </w:r>
      <w:r>
        <w:t xml:space="preserve"> -- </w:t>
      </w:r>
      <w:r>
        <w:rPr>
          <w:rFonts w:hint="eastAsia"/>
        </w:rPr>
        <w:t>各可调因子的现行价格指数，指第</w:t>
      </w:r>
      <w:r>
        <w:t>17.3.3</w:t>
      </w:r>
      <w:r>
        <w:rPr>
          <w:rFonts w:hint="eastAsia"/>
        </w:rPr>
        <w:t>项、第</w:t>
      </w:r>
      <w:r>
        <w:t>17.5.3</w:t>
      </w:r>
      <w:r>
        <w:rPr>
          <w:rFonts w:hint="eastAsia"/>
        </w:rPr>
        <w:t>项和第</w:t>
      </w:r>
      <w:r>
        <w:t>17.6.2</w:t>
      </w:r>
      <w:r>
        <w:rPr>
          <w:rFonts w:hint="eastAsia"/>
        </w:rPr>
        <w:t>项约定的付款证书相关周期最后一天的前</w:t>
      </w:r>
      <w:r>
        <w:t>42</w:t>
      </w:r>
      <w:r>
        <w:rPr>
          <w:rFonts w:hint="eastAsia"/>
        </w:rPr>
        <w:t>天的各可调因子的价格指数；</w:t>
      </w:r>
    </w:p>
    <w:p>
      <w:pPr>
        <w:tabs>
          <w:tab w:val="left" w:pos="1260"/>
        </w:tabs>
        <w:spacing w:line="360" w:lineRule="auto"/>
      </w:pPr>
      <w:r>
        <w:tab/>
      </w:r>
      <w:r>
        <w:t>F</w:t>
      </w:r>
      <w:r>
        <w:rPr>
          <w:szCs w:val="21"/>
          <w:vertAlign w:val="subscript"/>
        </w:rPr>
        <w:t>o1</w:t>
      </w:r>
      <w:r>
        <w:t>; F</w:t>
      </w:r>
      <w:r>
        <w:rPr>
          <w:szCs w:val="21"/>
          <w:vertAlign w:val="subscript"/>
        </w:rPr>
        <w:t>o2</w:t>
      </w:r>
      <w:r>
        <w:rPr>
          <w:sz w:val="15"/>
          <w:szCs w:val="15"/>
        </w:rPr>
        <w:t>;</w:t>
      </w:r>
      <w:r>
        <w:t xml:space="preserve"> F</w:t>
      </w:r>
      <w:r>
        <w:rPr>
          <w:szCs w:val="21"/>
          <w:vertAlign w:val="subscript"/>
        </w:rPr>
        <w:t>o3</w:t>
      </w:r>
      <w:r>
        <w:rPr>
          <w:rFonts w:hint="eastAsia" w:ascii="宋体" w:hAnsi="宋体"/>
          <w:sz w:val="15"/>
          <w:szCs w:val="15"/>
        </w:rPr>
        <w:t>·····</w:t>
      </w:r>
      <w:r>
        <w:t>F</w:t>
      </w:r>
      <w:r>
        <w:rPr>
          <w:szCs w:val="21"/>
          <w:vertAlign w:val="subscript"/>
        </w:rPr>
        <w:t>on</w:t>
      </w:r>
      <w:r>
        <w:t xml:space="preserve"> -- </w:t>
      </w:r>
      <w:r>
        <w:rPr>
          <w:rFonts w:hint="eastAsia"/>
        </w:rPr>
        <w:t>各可调因子的基本价格指数，指基准日期的各可调因子的价格指数。</w:t>
      </w:r>
    </w:p>
    <w:p>
      <w:pPr>
        <w:spacing w:line="360" w:lineRule="auto"/>
        <w:ind w:firstLine="630" w:firstLineChars="300"/>
      </w:pPr>
      <w:r>
        <w:rPr>
          <w:rFonts w:hint="eastAsi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630" w:firstLineChars="300"/>
        <w:rPr>
          <w:rFonts w:ascii="宋体"/>
        </w:rPr>
      </w:pPr>
      <w:r>
        <w:rPr>
          <w:rFonts w:ascii="宋体" w:hAnsi="宋体"/>
        </w:rPr>
        <w:t xml:space="preserve">16.1.1.2 </w:t>
      </w:r>
      <w:r>
        <w:rPr>
          <w:rFonts w:hint="eastAsia" w:ascii="宋体" w:hAnsi="宋体"/>
        </w:rPr>
        <w:t>暂时确定调整差额</w:t>
      </w:r>
    </w:p>
    <w:p>
      <w:pPr>
        <w:spacing w:line="360" w:lineRule="auto"/>
        <w:ind w:firstLine="630" w:firstLineChars="300"/>
      </w:pPr>
      <w:r>
        <w:rPr>
          <w:rFonts w:hint="eastAsia"/>
        </w:rPr>
        <w:t>在计算调整差额时得不到现行价格指数的，可暂用上一次价格指数计算，并在以后的付款中再按实际价格指数进行调整。</w:t>
      </w:r>
    </w:p>
    <w:p>
      <w:pPr>
        <w:spacing w:line="360" w:lineRule="auto"/>
        <w:ind w:firstLine="630" w:firstLineChars="300"/>
        <w:rPr>
          <w:rFonts w:ascii="宋体"/>
        </w:rPr>
      </w:pPr>
      <w:bookmarkStart w:id="2709" w:name="_Toc429569375"/>
      <w:r>
        <w:rPr>
          <w:rFonts w:ascii="宋体" w:hAnsi="宋体"/>
        </w:rPr>
        <w:t xml:space="preserve">16.1.1.3 </w:t>
      </w:r>
      <w:r>
        <w:rPr>
          <w:rFonts w:hint="eastAsia" w:ascii="宋体" w:hAnsi="宋体"/>
        </w:rPr>
        <w:t>权重的调整</w:t>
      </w:r>
      <w:bookmarkEnd w:id="2709"/>
    </w:p>
    <w:p>
      <w:pPr>
        <w:spacing w:line="360" w:lineRule="auto"/>
        <w:ind w:firstLine="630" w:firstLineChars="300"/>
      </w:pPr>
      <w:r>
        <w:rPr>
          <w:rFonts w:hint="eastAsia"/>
        </w:rPr>
        <w:t>按第</w:t>
      </w:r>
      <w:r>
        <w:t>15.1</w:t>
      </w:r>
      <w:r>
        <w:rPr>
          <w:rFonts w:hint="eastAsia"/>
        </w:rPr>
        <w:t>款约定的变更导致原定合同中的权重不合理时，由监理人与承包人和发包人协商后进行调整。</w:t>
      </w:r>
    </w:p>
    <w:p>
      <w:pPr>
        <w:spacing w:line="360" w:lineRule="auto"/>
        <w:ind w:firstLine="630" w:firstLineChars="300"/>
        <w:rPr>
          <w:rFonts w:ascii="宋体"/>
        </w:rPr>
      </w:pPr>
      <w:r>
        <w:rPr>
          <w:rFonts w:ascii="宋体" w:hAnsi="宋体"/>
        </w:rPr>
        <w:t xml:space="preserve">16.1.1.4 </w:t>
      </w:r>
      <w:r>
        <w:rPr>
          <w:rFonts w:hint="eastAsia" w:ascii="宋体" w:hAnsi="宋体"/>
        </w:rPr>
        <w:t>承包人工期延误后的价格调整</w:t>
      </w:r>
    </w:p>
    <w:p>
      <w:pPr>
        <w:spacing w:line="360" w:lineRule="auto"/>
        <w:ind w:firstLine="630" w:firstLineChars="300"/>
      </w:pPr>
      <w:r>
        <w:rPr>
          <w:rFonts w:hint="eastAsia"/>
        </w:rPr>
        <w:t>由于承包人原因未在约定的工期内竣工的，则对原约定竣工日期后继续施工的工程，在使用第</w:t>
      </w:r>
      <w:r>
        <w:t>16.1.1.1</w:t>
      </w:r>
      <w:r>
        <w:rPr>
          <w:rFonts w:hint="eastAsia"/>
        </w:rPr>
        <w:t>目价格调整公式时，应采用原约定竣工日期与实际竣工日期的两个价格指数中较低的一个作为现行价格指数。</w:t>
      </w:r>
    </w:p>
    <w:p>
      <w:pPr>
        <w:spacing w:line="360" w:lineRule="auto"/>
        <w:ind w:firstLine="420" w:firstLineChars="200"/>
        <w:rPr>
          <w:rFonts w:ascii="宋体"/>
        </w:rPr>
      </w:pPr>
      <w:r>
        <w:rPr>
          <w:rFonts w:ascii="宋体" w:hAnsi="宋体"/>
        </w:rPr>
        <w:t xml:space="preserve">16.1.2  </w:t>
      </w:r>
      <w:r>
        <w:rPr>
          <w:rFonts w:hint="eastAsia" w:ascii="宋体" w:hAnsi="宋体"/>
        </w:rPr>
        <w:t>采用造价信息调整价格差额</w:t>
      </w:r>
    </w:p>
    <w:p>
      <w:pPr>
        <w:spacing w:line="360" w:lineRule="auto"/>
        <w:ind w:firstLine="420" w:firstLineChars="200"/>
        <w:rPr>
          <w:rFonts w:ascii="宋体"/>
        </w:rPr>
      </w:pPr>
      <w:r>
        <w:rPr>
          <w:rFonts w:hint="eastAsia" w:ascii="宋体" w:hAnsi="宋体"/>
        </w:rPr>
        <w:t>施工期内，因人工、材料、设备和机械台班价格波动影响合同价格时，需要进行价格调整的，其价格和数量应由监理人审核，监理人确认需调整的内容、范围、价格和数量作为调整工程合同价格差额的依据。</w:t>
      </w:r>
    </w:p>
    <w:p>
      <w:pPr>
        <w:spacing w:line="360" w:lineRule="auto"/>
        <w:ind w:firstLine="630" w:firstLineChars="300"/>
        <w:rPr>
          <w:rFonts w:ascii="宋体"/>
        </w:rPr>
      </w:pPr>
      <w:r>
        <w:rPr>
          <w:rFonts w:ascii="宋体" w:hAnsi="宋体"/>
        </w:rPr>
        <w:t xml:space="preserve">16.1.2.1  </w:t>
      </w:r>
      <w:r>
        <w:rPr>
          <w:rFonts w:hint="eastAsia" w:ascii="宋体" w:hAnsi="宋体"/>
        </w:rPr>
        <w:t>引起价格调整的物价波动风险范围及幅度</w:t>
      </w:r>
    </w:p>
    <w:p>
      <w:pPr>
        <w:spacing w:line="360" w:lineRule="auto"/>
        <w:ind w:firstLine="630" w:firstLineChars="300"/>
        <w:rPr>
          <w:rFonts w:ascii="宋体"/>
        </w:rPr>
      </w:pPr>
      <w:r>
        <w:rPr>
          <w:rFonts w:hint="eastAsia" w:ascii="宋体" w:hAnsi="宋体"/>
        </w:rPr>
        <w:t>施工期内，因人工、材料、设备和机械台班发生物价波动变化幅度在合同约定的风险幅度范围以内的，由承包人承担或受益，不调整合同价格；其价格波动变化幅度在合同约定的风险幅度范围以外的，由发包人承担或受益。</w:t>
      </w:r>
      <w:r>
        <w:rPr>
          <w:rFonts w:hint="eastAsia" w:ascii="宋体" w:hAnsi="宋体"/>
          <w:szCs w:val="21"/>
        </w:rPr>
        <w:t>物价波动引起</w:t>
      </w:r>
      <w:r>
        <w:rPr>
          <w:rFonts w:hint="eastAsia" w:ascii="宋体" w:hAnsi="宋体"/>
        </w:rPr>
        <w:t>价格调整的风险范围以及调整的风险幅度</w:t>
      </w:r>
      <w:r>
        <w:rPr>
          <w:rFonts w:hint="eastAsia" w:ascii="黑体" w:hAnsi="黑体" w:eastAsia="黑体"/>
          <w:szCs w:val="21"/>
        </w:rPr>
        <w:t>见合同条款专用部分。</w:t>
      </w:r>
    </w:p>
    <w:p>
      <w:pPr>
        <w:spacing w:line="360" w:lineRule="auto"/>
        <w:ind w:firstLine="630" w:firstLineChars="300"/>
        <w:rPr>
          <w:rFonts w:ascii="宋体"/>
        </w:rPr>
      </w:pPr>
      <w:r>
        <w:rPr>
          <w:rFonts w:ascii="宋体" w:hAnsi="宋体"/>
        </w:rPr>
        <w:t xml:space="preserve">16.1.2.2  </w:t>
      </w:r>
      <w:r>
        <w:rPr>
          <w:rFonts w:hint="eastAsia" w:ascii="宋体" w:hAnsi="宋体"/>
        </w:rPr>
        <w:t>物价波动变化幅度的计算方法</w:t>
      </w:r>
    </w:p>
    <w:p>
      <w:pPr>
        <w:spacing w:line="360" w:lineRule="auto"/>
        <w:ind w:firstLine="525" w:firstLineChars="250"/>
        <w:rPr>
          <w:rFonts w:ascii="宋体"/>
        </w:rPr>
      </w:pPr>
      <w:r>
        <w:rPr>
          <w:rFonts w:hint="eastAsia" w:ascii="宋体" w:hAnsi="宋体"/>
        </w:rPr>
        <w:t>（</w:t>
      </w:r>
      <w:r>
        <w:rPr>
          <w:rFonts w:ascii="宋体" w:hAnsi="宋体"/>
        </w:rPr>
        <w:t>1</w:t>
      </w:r>
      <w:r>
        <w:rPr>
          <w:rFonts w:hint="eastAsia" w:ascii="宋体" w:hAnsi="宋体"/>
        </w:rPr>
        <w:t>）投标报价基准期确定的人工、材料、设备和机械台班的市场价格即为基准价。投标报价基准期</w:t>
      </w:r>
      <w:r>
        <w:rPr>
          <w:rFonts w:hint="eastAsia" w:ascii="黑体" w:hAnsi="黑体" w:eastAsia="黑体"/>
          <w:szCs w:val="21"/>
        </w:rPr>
        <w:t>见合同条款专用部分。</w:t>
      </w:r>
    </w:p>
    <w:p>
      <w:pPr>
        <w:spacing w:line="360" w:lineRule="auto"/>
        <w:ind w:firstLine="525" w:firstLineChars="250"/>
        <w:rPr>
          <w:rFonts w:ascii="宋体"/>
        </w:rPr>
      </w:pPr>
      <w:r>
        <w:rPr>
          <w:rFonts w:hint="eastAsia" w:ascii="宋体" w:hAnsi="宋体"/>
        </w:rPr>
        <w:t>（</w:t>
      </w:r>
      <w:r>
        <w:rPr>
          <w:rFonts w:ascii="宋体" w:hAnsi="宋体"/>
        </w:rPr>
        <w:t>2</w:t>
      </w:r>
      <w:r>
        <w:rPr>
          <w:rFonts w:hint="eastAsia" w:ascii="宋体" w:hAnsi="宋体"/>
        </w:rPr>
        <w:t>）《北京工程造价信息》中工程造价信息价有的，以北京市建设工程造价管理机构发布的《北京工程造价信息》中的工程造价信息价（以下简称造价信息价格）为依据确定基准价，造价信息价格中有上、下限的，以下限为准；《北京工程造价信息》工程造价信息价中没有的，确定基准价的方法</w:t>
      </w:r>
      <w:r>
        <w:rPr>
          <w:rFonts w:hint="eastAsia" w:ascii="黑体" w:hAnsi="黑体" w:eastAsia="黑体"/>
          <w:szCs w:val="21"/>
        </w:rPr>
        <w:t>见合同条款专用部分。</w:t>
      </w:r>
    </w:p>
    <w:p>
      <w:pPr>
        <w:spacing w:line="360" w:lineRule="auto"/>
        <w:ind w:firstLine="525" w:firstLineChars="250"/>
        <w:rPr>
          <w:rFonts w:ascii="宋体"/>
        </w:rPr>
      </w:pPr>
      <w:r>
        <w:rPr>
          <w:rFonts w:hint="eastAsia" w:ascii="宋体" w:hAnsi="宋体"/>
        </w:rPr>
        <w:t>（</w:t>
      </w:r>
      <w:r>
        <w:rPr>
          <w:rFonts w:ascii="宋体" w:hAnsi="宋体"/>
        </w:rPr>
        <w:t>3</w:t>
      </w:r>
      <w:r>
        <w:rPr>
          <w:rFonts w:hint="eastAsia" w:ascii="宋体" w:hAnsi="宋体"/>
        </w:rPr>
        <w:t>）合同履行期间价格的确定方法</w:t>
      </w:r>
      <w:r>
        <w:rPr>
          <w:rFonts w:hint="eastAsia" w:ascii="黑体" w:hAnsi="黑体" w:eastAsia="黑体"/>
          <w:szCs w:val="21"/>
        </w:rPr>
        <w:t>见合同条款专用部分。</w:t>
      </w:r>
    </w:p>
    <w:p>
      <w:pPr>
        <w:spacing w:line="360" w:lineRule="auto"/>
        <w:ind w:firstLine="525" w:firstLineChars="250"/>
        <w:rPr>
          <w:rFonts w:ascii="宋体"/>
          <w:szCs w:val="21"/>
        </w:rPr>
      </w:pPr>
      <w:r>
        <w:rPr>
          <w:rFonts w:hint="eastAsia" w:ascii="宋体" w:hAnsi="宋体"/>
        </w:rPr>
        <w:t>（</w:t>
      </w:r>
      <w:r>
        <w:rPr>
          <w:rFonts w:ascii="宋体" w:hAnsi="宋体"/>
        </w:rPr>
        <w:t>4</w:t>
      </w:r>
      <w:r>
        <w:rPr>
          <w:rFonts w:hint="eastAsia" w:ascii="宋体" w:hAnsi="宋体"/>
        </w:rPr>
        <w:t>）物价波动变化幅度</w:t>
      </w:r>
      <w:r>
        <w:rPr>
          <w:rFonts w:hint="eastAsia" w:ascii="宋体" w:hAnsi="宋体"/>
          <w:szCs w:val="21"/>
        </w:rPr>
        <w:t>的计算方法</w:t>
      </w:r>
      <w:r>
        <w:rPr>
          <w:rFonts w:hint="eastAsia" w:ascii="黑体" w:hAnsi="黑体" w:eastAsia="黑体"/>
          <w:szCs w:val="21"/>
        </w:rPr>
        <w:t>见合同条款专用部分。</w:t>
      </w:r>
    </w:p>
    <w:p>
      <w:pPr>
        <w:spacing w:line="360" w:lineRule="auto"/>
        <w:ind w:firstLine="630" w:firstLineChars="300"/>
        <w:rPr>
          <w:rFonts w:ascii="宋体"/>
        </w:rPr>
      </w:pPr>
      <w:r>
        <w:rPr>
          <w:rFonts w:ascii="宋体" w:hAnsi="宋体"/>
        </w:rPr>
        <w:t>16.1.2</w:t>
      </w:r>
      <w:r>
        <w:rPr>
          <w:rFonts w:ascii="宋体"/>
        </w:rPr>
        <w:t>.</w:t>
      </w:r>
      <w:r>
        <w:rPr>
          <w:rFonts w:ascii="宋体" w:hAnsi="宋体"/>
        </w:rPr>
        <w:t xml:space="preserve">3  </w:t>
      </w:r>
      <w:r>
        <w:rPr>
          <w:rFonts w:hint="eastAsia" w:ascii="宋体" w:hAnsi="宋体"/>
        </w:rPr>
        <w:t>物价波动引起价格调整的方法</w:t>
      </w:r>
    </w:p>
    <w:p>
      <w:pPr>
        <w:spacing w:line="360" w:lineRule="auto"/>
        <w:ind w:firstLine="420" w:firstLineChars="200"/>
        <w:rPr>
          <w:rFonts w:ascii="宋体" w:hAnsi="宋体"/>
          <w:szCs w:val="21"/>
        </w:rPr>
      </w:pPr>
      <w:r>
        <w:rPr>
          <w:rFonts w:hint="eastAsia" w:ascii="宋体" w:hAnsi="宋体"/>
        </w:rPr>
        <w:t>（</w:t>
      </w:r>
      <w:r>
        <w:rPr>
          <w:rFonts w:ascii="宋体" w:hAnsi="宋体"/>
        </w:rPr>
        <w:t>1</w:t>
      </w:r>
      <w:r>
        <w:rPr>
          <w:rFonts w:hint="eastAsia" w:ascii="宋体" w:hAnsi="宋体"/>
        </w:rPr>
        <w:t>）第</w:t>
      </w:r>
      <w:r>
        <w:rPr>
          <w:rFonts w:ascii="宋体" w:hAnsi="宋体"/>
        </w:rPr>
        <w:t>16.1.2.1</w:t>
      </w:r>
      <w:r>
        <w:rPr>
          <w:rFonts w:hint="eastAsia" w:ascii="宋体" w:hAnsi="宋体"/>
        </w:rPr>
        <w:t>目中约定的人工、材料、设备和机械台班</w:t>
      </w:r>
      <w:r>
        <w:rPr>
          <w:rFonts w:hint="eastAsia" w:ascii="宋体" w:hAnsi="宋体"/>
          <w:szCs w:val="21"/>
        </w:rPr>
        <w:t>的</w:t>
      </w:r>
      <w:r>
        <w:rPr>
          <w:rFonts w:hint="eastAsia" w:ascii="宋体" w:hAnsi="宋体"/>
        </w:rPr>
        <w:t>物价波动变化幅度</w:t>
      </w:r>
      <w:r>
        <w:rPr>
          <w:rFonts w:hint="eastAsia" w:ascii="宋体" w:hAnsi="宋体"/>
          <w:szCs w:val="21"/>
        </w:rPr>
        <w:t>超过风险幅度时，价格调整方法</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（2）第16.1.2.1目中约定的人工的物价波动变化幅度超过风险幅度时，应当计算全部价格差额，其价格差额由发包人承担或受益，其价格差额只计取税金。</w:t>
      </w:r>
    </w:p>
    <w:p>
      <w:pPr>
        <w:spacing w:line="360" w:lineRule="auto"/>
        <w:ind w:firstLine="420" w:firstLineChars="200"/>
        <w:rPr>
          <w:rFonts w:ascii="宋体" w:hAnsi="宋体"/>
          <w:szCs w:val="21"/>
        </w:rPr>
      </w:pPr>
      <w:r>
        <w:rPr>
          <w:rFonts w:hint="eastAsia" w:ascii="宋体" w:hAnsi="宋体"/>
          <w:szCs w:val="21"/>
        </w:rPr>
        <w:t>（3）第16.1.2.1目中约定的材料、设备和机械台班的物价波动变化幅度超过风险幅度时，应当计算超过部分的价格差额，其价格差额由发包人承担或受益，其价格差额只计取税金。</w:t>
      </w:r>
    </w:p>
    <w:p>
      <w:pPr>
        <w:spacing w:line="360" w:lineRule="auto"/>
        <w:ind w:firstLine="420" w:firstLineChars="200"/>
        <w:rPr>
          <w:rFonts w:ascii="宋体" w:hAnsi="宋体"/>
          <w:szCs w:val="21"/>
        </w:rPr>
      </w:pPr>
      <w:r>
        <w:rPr>
          <w:rFonts w:hint="eastAsia" w:ascii="宋体" w:hAnsi="宋体"/>
          <w:szCs w:val="21"/>
        </w:rPr>
        <w:t>16.1.2.4  物价波动引起价格调整的其他约定</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rPr>
      </w:pPr>
      <w:r>
        <w:rPr>
          <w:rFonts w:ascii="宋体" w:hAnsi="宋体"/>
        </w:rPr>
        <w:t xml:space="preserve">16.1.3  </w:t>
      </w:r>
      <w:r>
        <w:rPr>
          <w:rFonts w:hint="eastAsia" w:ascii="宋体" w:hAnsi="宋体"/>
          <w:szCs w:val="21"/>
        </w:rPr>
        <w:t>物</w:t>
      </w:r>
      <w:r>
        <w:rPr>
          <w:rFonts w:hint="eastAsia" w:ascii="宋体" w:hAnsi="宋体"/>
        </w:rPr>
        <w:t>价波动引起价格调整的其他方法</w:t>
      </w:r>
      <w:r>
        <w:rPr>
          <w:rFonts w:hint="eastAsia" w:ascii="黑体" w:hAnsi="黑体" w:eastAsia="黑体"/>
          <w:szCs w:val="21"/>
        </w:rPr>
        <w:t>见合同条款专用部分</w:t>
      </w:r>
      <w:r>
        <w:rPr>
          <w:rFonts w:hint="eastAsia" w:ascii="宋体" w:hAnsi="宋体"/>
        </w:rPr>
        <w:t>。</w:t>
      </w:r>
    </w:p>
    <w:p>
      <w:pPr>
        <w:pStyle w:val="155"/>
        <w:spacing w:before="120" w:after="120"/>
      </w:pPr>
      <w:bookmarkStart w:id="2710" w:name="_Toc152042496"/>
      <w:bookmarkStart w:id="2711" w:name="_Toc490222600"/>
      <w:bookmarkStart w:id="2712" w:name="_Toc480486837"/>
      <w:bookmarkStart w:id="2713" w:name="_Toc489279966"/>
      <w:bookmarkStart w:id="2714" w:name="_Toc486580155"/>
      <w:bookmarkStart w:id="2715" w:name="_Toc144974688"/>
      <w:bookmarkStart w:id="2716" w:name="_Toc338944810"/>
      <w:bookmarkStart w:id="2717" w:name="_Toc342296368"/>
      <w:bookmarkStart w:id="2718" w:name="_Toc179632735"/>
      <w:bookmarkStart w:id="2719" w:name="_Toc483668184"/>
      <w:bookmarkStart w:id="2720" w:name="_Toc152045717"/>
      <w:bookmarkStart w:id="2721" w:name="_Toc480487009"/>
      <w:bookmarkStart w:id="2722" w:name="_Toc117350524"/>
      <w:r>
        <w:t xml:space="preserve">16.2  </w:t>
      </w:r>
      <w:r>
        <w:rPr>
          <w:rFonts w:hint="eastAsia"/>
        </w:rPr>
        <w:t>法律变化引起的价格调整</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pPr>
        <w:spacing w:line="360" w:lineRule="auto"/>
        <w:ind w:firstLine="420" w:firstLineChars="200"/>
        <w:rPr>
          <w:rFonts w:ascii="宋体"/>
        </w:rPr>
      </w:pPr>
      <w:r>
        <w:rPr>
          <w:rFonts w:hint="eastAsia" w:ascii="宋体" w:hAnsi="宋体"/>
        </w:rPr>
        <w:t>在基准日后，因法律变化导致承包人在合同履行中所需要的工程费用发生除第</w:t>
      </w:r>
      <w:r>
        <w:rPr>
          <w:rFonts w:ascii="宋体" w:hAnsi="宋体"/>
        </w:rPr>
        <w:t>16.1</w:t>
      </w:r>
      <w:r>
        <w:rPr>
          <w:rFonts w:hint="eastAsia" w:ascii="宋体" w:hAnsi="宋体"/>
        </w:rPr>
        <w:t>款约定以外的增减时，监理人应根据法律、国家或省、自治区、直辖市有关部门的规定，按第</w:t>
      </w:r>
      <w:r>
        <w:rPr>
          <w:rFonts w:ascii="宋体" w:hAnsi="宋体"/>
        </w:rPr>
        <w:t>3.5</w:t>
      </w:r>
      <w:r>
        <w:rPr>
          <w:rFonts w:hint="eastAsia" w:ascii="宋体" w:hAnsi="宋体"/>
        </w:rPr>
        <w:t>款商定或确定需调整的合同价款。</w:t>
      </w:r>
    </w:p>
    <w:p>
      <w:pPr>
        <w:pStyle w:val="144"/>
        <w:spacing w:before="120" w:after="120"/>
      </w:pPr>
      <w:bookmarkStart w:id="2723" w:name="_Toc489279967"/>
      <w:bookmarkStart w:id="2724" w:name="_Toc490222601"/>
      <w:bookmarkStart w:id="2725" w:name="_Toc483668185"/>
      <w:bookmarkStart w:id="2726" w:name="_Toc338944811"/>
      <w:bookmarkStart w:id="2727" w:name="_Toc480486838"/>
      <w:bookmarkStart w:id="2728" w:name="_Toc342296369"/>
      <w:bookmarkStart w:id="2729" w:name="_Toc486580156"/>
      <w:bookmarkStart w:id="2730" w:name="_Toc480487010"/>
      <w:bookmarkStart w:id="2731" w:name="_Toc117350525"/>
      <w:r>
        <w:t>17.</w:t>
      </w:r>
      <w:r>
        <w:rPr>
          <w:rFonts w:hint="eastAsia"/>
        </w:rPr>
        <w:t>计量与支付</w:t>
      </w:r>
      <w:bookmarkEnd w:id="2723"/>
      <w:bookmarkEnd w:id="2724"/>
      <w:bookmarkEnd w:id="2725"/>
      <w:bookmarkEnd w:id="2726"/>
      <w:bookmarkEnd w:id="2727"/>
      <w:bookmarkEnd w:id="2728"/>
      <w:bookmarkEnd w:id="2729"/>
      <w:bookmarkEnd w:id="2730"/>
      <w:bookmarkEnd w:id="2731"/>
    </w:p>
    <w:p>
      <w:pPr>
        <w:pStyle w:val="155"/>
        <w:spacing w:before="120" w:after="120"/>
      </w:pPr>
      <w:bookmarkStart w:id="2732" w:name="_Toc489279968"/>
      <w:bookmarkStart w:id="2733" w:name="_Toc480487011"/>
      <w:bookmarkStart w:id="2734" w:name="_Toc480486839"/>
      <w:bookmarkStart w:id="2735" w:name="_Toc483668186"/>
      <w:bookmarkStart w:id="2736" w:name="_Toc486580157"/>
      <w:bookmarkStart w:id="2737" w:name="_Toc490222602"/>
      <w:bookmarkStart w:id="2738" w:name="_Toc338944812"/>
      <w:bookmarkStart w:id="2739" w:name="_Toc342296370"/>
      <w:bookmarkStart w:id="2740" w:name="_Toc117350526"/>
      <w:r>
        <w:t xml:space="preserve">17.1  </w:t>
      </w:r>
      <w:r>
        <w:rPr>
          <w:rFonts w:hint="eastAsia"/>
        </w:rPr>
        <w:t>计量</w:t>
      </w:r>
      <w:bookmarkEnd w:id="2732"/>
      <w:bookmarkEnd w:id="2733"/>
      <w:bookmarkEnd w:id="2734"/>
      <w:bookmarkEnd w:id="2735"/>
      <w:bookmarkEnd w:id="2736"/>
      <w:bookmarkEnd w:id="2737"/>
      <w:bookmarkEnd w:id="2738"/>
      <w:bookmarkEnd w:id="2739"/>
      <w:bookmarkEnd w:id="2740"/>
    </w:p>
    <w:p>
      <w:pPr>
        <w:spacing w:line="360" w:lineRule="auto"/>
        <w:ind w:firstLine="420" w:firstLineChars="200"/>
        <w:rPr>
          <w:rFonts w:ascii="宋体"/>
        </w:rPr>
      </w:pPr>
      <w:r>
        <w:rPr>
          <w:rFonts w:ascii="宋体" w:hAnsi="宋体"/>
        </w:rPr>
        <w:t xml:space="preserve">17.1.1  </w:t>
      </w:r>
      <w:r>
        <w:rPr>
          <w:rFonts w:hint="eastAsia" w:ascii="宋体" w:hAnsi="宋体"/>
        </w:rPr>
        <w:t>计量单位</w:t>
      </w:r>
    </w:p>
    <w:p>
      <w:pPr>
        <w:spacing w:line="360" w:lineRule="auto"/>
        <w:ind w:firstLine="420" w:firstLineChars="200"/>
        <w:rPr>
          <w:rFonts w:ascii="宋体"/>
        </w:rPr>
      </w:pPr>
      <w:r>
        <w:rPr>
          <w:rFonts w:hint="eastAsia" w:ascii="宋体" w:hAnsi="宋体"/>
        </w:rPr>
        <w:t>计量采用国家法定的计量单位。</w:t>
      </w:r>
    </w:p>
    <w:p>
      <w:pPr>
        <w:spacing w:line="360" w:lineRule="auto"/>
        <w:ind w:firstLine="420" w:firstLineChars="200"/>
        <w:rPr>
          <w:rFonts w:ascii="宋体"/>
        </w:rPr>
      </w:pPr>
      <w:r>
        <w:rPr>
          <w:rFonts w:ascii="宋体" w:hAnsi="宋体"/>
        </w:rPr>
        <w:t xml:space="preserve">17.1.2  </w:t>
      </w:r>
      <w:r>
        <w:rPr>
          <w:rFonts w:hint="eastAsia" w:ascii="宋体" w:hAnsi="宋体"/>
        </w:rPr>
        <w:t>计量方法</w:t>
      </w:r>
    </w:p>
    <w:p>
      <w:pPr>
        <w:spacing w:line="360" w:lineRule="auto"/>
        <w:ind w:firstLine="420" w:firstLineChars="200"/>
        <w:rPr>
          <w:rFonts w:ascii="宋体"/>
        </w:rPr>
      </w:pPr>
      <w:r>
        <w:rPr>
          <w:rFonts w:hint="eastAsia" w:ascii="宋体" w:hAnsi="宋体"/>
        </w:rPr>
        <w:t>工程量计算规则执行工程量清单中约定的计量计价规范版本。除合同另有约定外，承包人实际完成的工程量按约定的工程量计算规则和有合同约束力的图纸进行计量。</w:t>
      </w:r>
    </w:p>
    <w:p>
      <w:pPr>
        <w:spacing w:line="360" w:lineRule="auto"/>
        <w:ind w:firstLine="420" w:firstLineChars="200"/>
        <w:rPr>
          <w:rFonts w:ascii="宋体"/>
        </w:rPr>
      </w:pPr>
      <w:r>
        <w:rPr>
          <w:rFonts w:ascii="宋体" w:hAnsi="宋体"/>
        </w:rPr>
        <w:t xml:space="preserve">17.1.3  </w:t>
      </w:r>
      <w:r>
        <w:rPr>
          <w:rFonts w:hint="eastAsia" w:ascii="宋体" w:hAnsi="宋体"/>
        </w:rPr>
        <w:t>计量周期</w:t>
      </w:r>
    </w:p>
    <w:p>
      <w:pPr>
        <w:spacing w:line="360" w:lineRule="auto"/>
        <w:ind w:firstLine="420" w:firstLineChars="200"/>
      </w:pPr>
      <w:r>
        <w:rPr>
          <w:rFonts w:hint="eastAsia" w:ascii="宋体" w:hAnsi="宋体"/>
          <w:szCs w:val="21"/>
        </w:rPr>
        <w:t>（</w:t>
      </w:r>
      <w:r>
        <w:rPr>
          <w:rFonts w:ascii="宋体" w:hAnsi="宋体"/>
          <w:szCs w:val="21"/>
        </w:rPr>
        <w:t>1</w:t>
      </w:r>
      <w:r>
        <w:rPr>
          <w:rFonts w:hint="eastAsia" w:ascii="宋体" w:hAnsi="宋体"/>
          <w:szCs w:val="21"/>
        </w:rPr>
        <w:t>）本合同的计量周期为月，当月计量截止日期（不含当日）和下月计量起始日期（含当日）</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pPr>
      <w:r>
        <w:rPr>
          <w:rFonts w:hint="eastAsia"/>
        </w:rPr>
        <w:t>（</w:t>
      </w:r>
      <w:r>
        <w:rPr>
          <w:rFonts w:ascii="宋体" w:hAnsi="宋体"/>
        </w:rPr>
        <w:t>2</w:t>
      </w:r>
      <w:r>
        <w:rPr>
          <w:rFonts w:hint="eastAsia"/>
        </w:rPr>
        <w:t>）单价子目已完成工程量是否按月计量</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pPr>
      <w:r>
        <w:rPr>
          <w:rFonts w:hint="eastAsia" w:ascii="宋体" w:hAnsi="宋体"/>
          <w:szCs w:val="21"/>
        </w:rPr>
        <w:t>（</w:t>
      </w:r>
      <w:r>
        <w:rPr>
          <w:rFonts w:ascii="宋体" w:hAnsi="宋体"/>
          <w:szCs w:val="21"/>
        </w:rPr>
        <w:t>3</w:t>
      </w:r>
      <w:r>
        <w:rPr>
          <w:rFonts w:hint="eastAsia" w:ascii="宋体" w:hAnsi="宋体"/>
          <w:szCs w:val="21"/>
        </w:rPr>
        <w:t>）总价子目计量方法</w:t>
      </w:r>
      <w:r>
        <w:rPr>
          <w:rFonts w:hint="eastAsia" w:ascii="黑体" w:hAnsi="黑体" w:eastAsia="黑体"/>
          <w:szCs w:val="21"/>
        </w:rPr>
        <w:t>见合同条款专用部分</w:t>
      </w:r>
      <w:r>
        <w:rPr>
          <w:rFonts w:hint="eastAsia" w:ascii="宋体" w:hAnsi="宋体" w:cs="Arial"/>
        </w:rPr>
        <w:t>。</w:t>
      </w:r>
    </w:p>
    <w:p>
      <w:pPr>
        <w:spacing w:line="360" w:lineRule="auto"/>
        <w:ind w:firstLine="420" w:firstLineChars="200"/>
        <w:rPr>
          <w:rFonts w:ascii="宋体"/>
        </w:rPr>
      </w:pPr>
      <w:r>
        <w:rPr>
          <w:rFonts w:ascii="宋体" w:hAnsi="宋体"/>
        </w:rPr>
        <w:t xml:space="preserve">17.1.4  </w:t>
      </w:r>
      <w:r>
        <w:rPr>
          <w:rFonts w:hint="eastAsia" w:ascii="宋体" w:hAnsi="宋体"/>
        </w:rPr>
        <w:t>单价子目的计量</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）已标价工程量清单中的单价子目工程量为估算工程量。结算工程量是承包人实际完成的，并按合同约定的计量方法进行计量的工程量。</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）承包人对已完成的工程进行计量，向监理人提交进度付款申请单、已完成工程量报表和有关计量资料。</w:t>
      </w:r>
    </w:p>
    <w:p>
      <w:pPr>
        <w:spacing w:line="360" w:lineRule="auto"/>
        <w:ind w:firstLine="420" w:firstLineChars="200"/>
        <w:rPr>
          <w:rFonts w:ascii="宋体"/>
        </w:rPr>
      </w:pPr>
      <w:r>
        <w:rPr>
          <w:rFonts w:hint="eastAsia" w:ascii="宋体" w:hAnsi="宋体"/>
        </w:rPr>
        <w:t>（</w:t>
      </w:r>
      <w:r>
        <w:rPr>
          <w:rFonts w:ascii="宋体" w:hAnsi="宋体"/>
        </w:rPr>
        <w:t>3</w:t>
      </w:r>
      <w:r>
        <w:rPr>
          <w:rFonts w:hint="eastAsia" w:ascii="宋体" w:hAnsi="宋体"/>
        </w:rPr>
        <w:t>）监理人对承包人提交的工程量报表进行复核，以确定实际完成的工程量。对数量有异议的，可要求承包人按第</w:t>
      </w:r>
      <w:r>
        <w:rPr>
          <w:rFonts w:ascii="宋体" w:hAnsi="宋体"/>
        </w:rPr>
        <w:t>8.2</w:t>
      </w:r>
      <w:r>
        <w:rPr>
          <w:rFonts w:hint="eastAsia" w:ascii="宋体" w:hAnsi="宋体"/>
        </w:rPr>
        <w:t>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）监理人认为有必要时，可通知承包人共同进行联合测量、计量，承包人应遵照执行。</w:t>
      </w:r>
    </w:p>
    <w:p>
      <w:pPr>
        <w:spacing w:line="360" w:lineRule="auto"/>
        <w:ind w:firstLine="420" w:firstLineChars="200"/>
        <w:rPr>
          <w:rFonts w:ascii="宋体"/>
        </w:rPr>
      </w:pPr>
      <w:r>
        <w:rPr>
          <w:rFonts w:hint="eastAsia" w:ascii="宋体" w:hAnsi="宋体"/>
        </w:rPr>
        <w:t>（</w:t>
      </w:r>
      <w:r>
        <w:rPr>
          <w:rFonts w:ascii="宋体" w:hAnsi="宋体"/>
        </w:rPr>
        <w:t>5</w:t>
      </w:r>
      <w:r>
        <w:rPr>
          <w:rFonts w:hint="eastAsia" w:ascii="宋体" w:hAnsi="宋体"/>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360" w:lineRule="auto"/>
        <w:ind w:firstLine="420" w:firstLineChars="200"/>
        <w:rPr>
          <w:rFonts w:ascii="宋体"/>
        </w:rPr>
      </w:pPr>
      <w:r>
        <w:rPr>
          <w:rFonts w:hint="eastAsia" w:ascii="宋体" w:hAnsi="宋体"/>
        </w:rPr>
        <w:t>（</w:t>
      </w:r>
      <w:r>
        <w:rPr>
          <w:rFonts w:ascii="宋体" w:hAnsi="宋体"/>
        </w:rPr>
        <w:t>6</w:t>
      </w:r>
      <w:r>
        <w:rPr>
          <w:rFonts w:hint="eastAsia" w:ascii="宋体" w:hAnsi="宋体"/>
        </w:rPr>
        <w:t>）监理人应在收到承包人提交的工程量报表后的</w:t>
      </w:r>
      <w:r>
        <w:rPr>
          <w:rFonts w:ascii="宋体" w:hAnsi="宋体"/>
        </w:rPr>
        <w:t>7</w:t>
      </w:r>
      <w:r>
        <w:rPr>
          <w:rFonts w:hint="eastAsia" w:ascii="宋体" w:hAnsi="宋体"/>
        </w:rPr>
        <w:t>天内进行复核，监理人未在约定时间内复核的，承包人提交的工程量报表中的工程量视为承包人实际完成的工程量，据此计算工程价款。</w:t>
      </w:r>
    </w:p>
    <w:p>
      <w:pPr>
        <w:spacing w:line="360" w:lineRule="auto"/>
        <w:ind w:firstLine="420" w:firstLineChars="200"/>
        <w:rPr>
          <w:rFonts w:ascii="宋体"/>
        </w:rPr>
      </w:pPr>
      <w:r>
        <w:rPr>
          <w:rFonts w:ascii="宋体" w:hAnsi="宋体"/>
        </w:rPr>
        <w:t xml:space="preserve">17.1.5  </w:t>
      </w:r>
      <w:r>
        <w:rPr>
          <w:rFonts w:hint="eastAsia" w:ascii="宋体" w:hAnsi="宋体"/>
        </w:rPr>
        <w:t>总价子目的计量（适用于采用支付分解报告）</w:t>
      </w:r>
    </w:p>
    <w:p>
      <w:pPr>
        <w:spacing w:line="400" w:lineRule="exact"/>
        <w:ind w:firstLine="420" w:firstLineChars="200"/>
        <w:rPr>
          <w:rFonts w:ascii="宋体"/>
          <w:szCs w:val="21"/>
        </w:rPr>
      </w:pPr>
      <w:r>
        <w:rPr>
          <w:rFonts w:hint="eastAsia" w:ascii="宋体" w:hAnsi="宋体"/>
          <w:szCs w:val="21"/>
        </w:rPr>
        <w:t>总价子目按照有合同约束力的支付分解表支付。承包人应根据合同条款第</w:t>
      </w:r>
      <w:r>
        <w:rPr>
          <w:rFonts w:ascii="宋体" w:hAnsi="宋体"/>
          <w:szCs w:val="21"/>
        </w:rPr>
        <w:t>10</w:t>
      </w:r>
      <w:r>
        <w:rPr>
          <w:rFonts w:hint="eastAsia" w:ascii="宋体" w:hAnsi="宋体"/>
          <w:szCs w:val="21"/>
        </w:rPr>
        <w:t>条约定的合同进度计划和总价子目的总价构成、费用性质、计划发生时间和相应工作量等因素对各个总价子目的总价按月进行分解，形成支付分解报告。承包人应当在收到经过监理人批复的合同进度计划后</w:t>
      </w:r>
      <w:r>
        <w:rPr>
          <w:rFonts w:ascii="宋体" w:hAnsi="宋体"/>
          <w:szCs w:val="21"/>
        </w:rPr>
        <w:t>7</w:t>
      </w:r>
      <w:r>
        <w:rPr>
          <w:rFonts w:hint="eastAsia" w:ascii="宋体" w:hAnsi="宋体"/>
          <w:szCs w:val="21"/>
        </w:rPr>
        <w:t>天内，将支付分解报告以及形成支付分解报告的分项计量和总价分解等支持性资料报监理人审批，监理人应当在收到承包人报送的支付分解报告后</w:t>
      </w:r>
      <w:r>
        <w:rPr>
          <w:rFonts w:ascii="宋体" w:hAnsi="宋体"/>
          <w:szCs w:val="21"/>
        </w:rPr>
        <w:t>7</w:t>
      </w:r>
      <w:r>
        <w:rPr>
          <w:rFonts w:hint="eastAsia" w:ascii="宋体" w:hAnsi="宋体"/>
          <w:szCs w:val="21"/>
        </w:rPr>
        <w:t>天内给予批复或提出修改意见，经监理人批准的支付分解报告为有合同约束力的支付分解表。支付分解表应根据合同条款第</w:t>
      </w:r>
      <w:r>
        <w:rPr>
          <w:rFonts w:ascii="宋体" w:hAnsi="宋体"/>
          <w:szCs w:val="21"/>
        </w:rPr>
        <w:t>10.2</w:t>
      </w:r>
      <w:r>
        <w:rPr>
          <w:rFonts w:hint="eastAsia" w:ascii="宋体" w:hAnsi="宋体"/>
          <w:szCs w:val="21"/>
        </w:rPr>
        <w:t>款约定的修订合同进度计划进行修正，修正的程序和期限应当依照本项上述约定，经修正的支付分解表为有合同约束力的支付分解表。</w:t>
      </w:r>
    </w:p>
    <w:p>
      <w:pPr>
        <w:spacing w:line="400" w:lineRule="exact"/>
        <w:ind w:firstLine="420" w:firstLineChars="200"/>
        <w:rPr>
          <w:rFonts w:ascii="宋体" w:cs="Arial"/>
        </w:rPr>
      </w:pPr>
      <w:r>
        <w:rPr>
          <w:rFonts w:hint="eastAsia" w:ascii="宋体" w:hAnsi="宋体" w:cs="Arial"/>
        </w:rPr>
        <w:t>（</w:t>
      </w:r>
      <w:r>
        <w:rPr>
          <w:rFonts w:ascii="宋体" w:hAnsi="宋体" w:cs="Arial"/>
        </w:rPr>
        <w:t>1</w:t>
      </w:r>
      <w:r>
        <w:rPr>
          <w:rFonts w:hint="eastAsia" w:ascii="宋体" w:hAnsi="宋体" w:cs="Arial"/>
        </w:rPr>
        <w:t>）总价</w:t>
      </w:r>
      <w:r>
        <w:rPr>
          <w:rFonts w:hint="eastAsia" w:ascii="宋体" w:hAnsi="宋体"/>
          <w:szCs w:val="21"/>
        </w:rPr>
        <w:t>子目</w:t>
      </w:r>
      <w:r>
        <w:rPr>
          <w:rFonts w:hint="eastAsia" w:ascii="宋体" w:hAnsi="宋体" w:cs="Arial"/>
        </w:rPr>
        <w:t>的价格调整方法</w:t>
      </w:r>
      <w:r>
        <w:rPr>
          <w:rFonts w:hint="eastAsia" w:ascii="黑体" w:hAnsi="黑体" w:eastAsia="黑体"/>
          <w:szCs w:val="21"/>
        </w:rPr>
        <w:t>见合同条款专用部分</w:t>
      </w:r>
      <w:r>
        <w:rPr>
          <w:rFonts w:hint="eastAsia" w:ascii="宋体" w:hAnsi="宋体" w:cs="Arial"/>
        </w:rPr>
        <w:t>。</w:t>
      </w:r>
    </w:p>
    <w:p>
      <w:pPr>
        <w:spacing w:line="400" w:lineRule="exact"/>
        <w:ind w:firstLine="420" w:firstLineChars="200"/>
        <w:rPr>
          <w:rFonts w:ascii="宋体" w:cs="Arial"/>
        </w:rPr>
      </w:pPr>
      <w:r>
        <w:rPr>
          <w:rFonts w:hint="eastAsia" w:ascii="宋体" w:hAnsi="宋体" w:cs="Arial"/>
        </w:rPr>
        <w:t>（</w:t>
      </w:r>
      <w:r>
        <w:rPr>
          <w:rFonts w:ascii="宋体" w:hAnsi="宋体" w:cs="Arial"/>
        </w:rPr>
        <w:t>2</w:t>
      </w:r>
      <w:r>
        <w:rPr>
          <w:rFonts w:hint="eastAsia" w:ascii="宋体" w:hAnsi="宋体" w:cs="Arial"/>
        </w:rPr>
        <w:t>）列入每月进度付款申请单中各总价</w:t>
      </w:r>
      <w:r>
        <w:rPr>
          <w:rFonts w:hint="eastAsia" w:ascii="宋体" w:hAnsi="宋体"/>
          <w:szCs w:val="21"/>
        </w:rPr>
        <w:t>子目</w:t>
      </w:r>
      <w:r>
        <w:rPr>
          <w:rFonts w:hint="eastAsia" w:ascii="宋体" w:hAnsi="宋体" w:cs="Arial"/>
        </w:rPr>
        <w:t>的价值为有合同约束力的支付分解表中对应月份的总价</w:t>
      </w:r>
      <w:r>
        <w:rPr>
          <w:rFonts w:hint="eastAsia" w:ascii="宋体" w:hAnsi="宋体"/>
          <w:szCs w:val="21"/>
        </w:rPr>
        <w:t>子目</w:t>
      </w:r>
      <w:r>
        <w:rPr>
          <w:rFonts w:hint="eastAsia" w:ascii="宋体" w:hAnsi="宋体" w:cs="Arial"/>
        </w:rPr>
        <w:t>总价值。</w:t>
      </w:r>
    </w:p>
    <w:p>
      <w:pPr>
        <w:spacing w:line="400" w:lineRule="exact"/>
        <w:ind w:firstLine="420" w:firstLineChars="200"/>
        <w:rPr>
          <w:rFonts w:ascii="宋体" w:cs="Arial"/>
        </w:rPr>
      </w:pPr>
      <w:r>
        <w:rPr>
          <w:rFonts w:hint="eastAsia" w:ascii="宋体" w:hAnsi="宋体" w:cs="Arial"/>
        </w:rPr>
        <w:t>（</w:t>
      </w:r>
      <w:r>
        <w:rPr>
          <w:rFonts w:ascii="宋体" w:hAnsi="宋体" w:cs="Arial"/>
        </w:rPr>
        <w:t>3</w:t>
      </w:r>
      <w:r>
        <w:rPr>
          <w:rFonts w:hint="eastAsia" w:ascii="宋体" w:hAnsi="宋体" w:cs="Arial"/>
        </w:rPr>
        <w:t>）监理人根据有合同约束力的支付分解表复核列入每月进度付款申请单中的总价</w:t>
      </w:r>
      <w:r>
        <w:rPr>
          <w:rFonts w:hint="eastAsia" w:ascii="宋体" w:hAnsi="宋体"/>
          <w:szCs w:val="21"/>
        </w:rPr>
        <w:t>子目</w:t>
      </w:r>
      <w:r>
        <w:rPr>
          <w:rFonts w:hint="eastAsia" w:ascii="宋体" w:hAnsi="宋体" w:cs="Arial"/>
        </w:rPr>
        <w:t>的总价值。</w:t>
      </w:r>
    </w:p>
    <w:p>
      <w:pPr>
        <w:spacing w:line="360" w:lineRule="auto"/>
        <w:ind w:firstLine="420" w:firstLineChars="200"/>
        <w:rPr>
          <w:rFonts w:ascii="宋体" w:cs="Arial"/>
        </w:rPr>
      </w:pPr>
      <w:r>
        <w:rPr>
          <w:rFonts w:hint="eastAsia" w:ascii="宋体" w:hAnsi="宋体" w:cs="Arial"/>
        </w:rPr>
        <w:t>（</w:t>
      </w:r>
      <w:r>
        <w:rPr>
          <w:rFonts w:ascii="宋体" w:hAnsi="宋体" w:cs="Arial"/>
        </w:rPr>
        <w:t>4</w:t>
      </w:r>
      <w:r>
        <w:rPr>
          <w:rFonts w:hint="eastAsia" w:ascii="宋体" w:hAnsi="宋体" w:cs="Arial"/>
        </w:rPr>
        <w:t>）除按照第</w:t>
      </w:r>
      <w:r>
        <w:rPr>
          <w:rFonts w:ascii="宋体" w:hAnsi="宋体" w:cs="Arial"/>
        </w:rPr>
        <w:t>15</w:t>
      </w:r>
      <w:r>
        <w:rPr>
          <w:rFonts w:hint="eastAsia" w:ascii="宋体" w:hAnsi="宋体" w:cs="Arial"/>
        </w:rPr>
        <w:t>条约定的变更外，在竣工结算时总价</w:t>
      </w:r>
      <w:r>
        <w:rPr>
          <w:rFonts w:hint="eastAsia" w:ascii="宋体" w:hAnsi="宋体"/>
          <w:szCs w:val="21"/>
        </w:rPr>
        <w:t>子目</w:t>
      </w:r>
      <w:r>
        <w:rPr>
          <w:rFonts w:hint="eastAsia" w:ascii="宋体" w:hAnsi="宋体" w:cs="Arial"/>
        </w:rPr>
        <w:t>的工程量不应当重新计量，签约合同价所基于的工程量即是用于竣工结算的最终工程量。</w:t>
      </w:r>
    </w:p>
    <w:p>
      <w:pPr>
        <w:spacing w:line="360" w:lineRule="auto"/>
        <w:ind w:firstLine="420" w:firstLineChars="200"/>
        <w:rPr>
          <w:rFonts w:ascii="宋体" w:cs="Arial"/>
        </w:rPr>
      </w:pPr>
      <w:r>
        <w:rPr>
          <w:rFonts w:ascii="宋体" w:hAnsi="宋体" w:cs="Arial"/>
        </w:rPr>
        <w:t xml:space="preserve">17.1.5  </w:t>
      </w:r>
      <w:r>
        <w:rPr>
          <w:rFonts w:hint="eastAsia" w:ascii="宋体" w:hAnsi="宋体" w:cs="Arial"/>
        </w:rPr>
        <w:t>总价</w:t>
      </w:r>
      <w:r>
        <w:rPr>
          <w:rFonts w:hint="eastAsia" w:ascii="宋体" w:hAnsi="宋体"/>
          <w:szCs w:val="21"/>
        </w:rPr>
        <w:t>子目</w:t>
      </w:r>
      <w:r>
        <w:rPr>
          <w:rFonts w:hint="eastAsia" w:ascii="宋体" w:hAnsi="宋体" w:cs="Arial"/>
        </w:rPr>
        <w:t>的计量（适用于采用按实际完成工程量计量）</w:t>
      </w:r>
    </w:p>
    <w:p>
      <w:pPr>
        <w:spacing w:line="360" w:lineRule="auto"/>
        <w:ind w:firstLine="420" w:firstLineChars="200"/>
        <w:rPr>
          <w:rFonts w:ascii="宋体" w:cs="Arial"/>
        </w:rPr>
      </w:pPr>
      <w:r>
        <w:rPr>
          <w:rFonts w:hint="eastAsia" w:ascii="宋体" w:hAnsi="宋体" w:cs="Arial"/>
        </w:rPr>
        <w:t>（</w:t>
      </w:r>
      <w:r>
        <w:rPr>
          <w:rFonts w:ascii="宋体" w:hAnsi="宋体" w:cs="Arial"/>
        </w:rPr>
        <w:t>1</w:t>
      </w:r>
      <w:r>
        <w:rPr>
          <w:rFonts w:hint="eastAsia" w:ascii="宋体" w:hAnsi="宋体" w:cs="Arial"/>
        </w:rPr>
        <w:t>）总价</w:t>
      </w:r>
      <w:r>
        <w:rPr>
          <w:rFonts w:hint="eastAsia" w:ascii="宋体" w:hAnsi="宋体"/>
          <w:szCs w:val="21"/>
        </w:rPr>
        <w:t>子目</w:t>
      </w:r>
      <w:r>
        <w:rPr>
          <w:rFonts w:hint="eastAsia" w:ascii="宋体" w:hAnsi="宋体" w:cs="Arial"/>
        </w:rPr>
        <w:t>的计量和支付应以总价为基础，对承包人实际完成的工程量进行计量，是进行工程目标管理和控制进度款支付的依据。总价</w:t>
      </w:r>
      <w:r>
        <w:rPr>
          <w:rFonts w:hint="eastAsia" w:ascii="宋体" w:hAnsi="宋体"/>
          <w:szCs w:val="21"/>
        </w:rPr>
        <w:t>子目</w:t>
      </w:r>
      <w:r>
        <w:rPr>
          <w:rFonts w:hint="eastAsia" w:ascii="宋体" w:hAnsi="宋体" w:cs="Arial"/>
        </w:rPr>
        <w:t>的价格调整方法</w:t>
      </w:r>
      <w:r>
        <w:rPr>
          <w:rFonts w:hint="eastAsia" w:ascii="黑体" w:hAnsi="黑体" w:eastAsia="黑体"/>
          <w:szCs w:val="21"/>
        </w:rPr>
        <w:t>见合同条款专用部分</w:t>
      </w:r>
      <w:r>
        <w:rPr>
          <w:rFonts w:hint="eastAsia" w:ascii="宋体" w:hAnsi="宋体" w:cs="Arial"/>
        </w:rPr>
        <w:t>。</w:t>
      </w:r>
    </w:p>
    <w:p>
      <w:pPr>
        <w:spacing w:line="360" w:lineRule="auto"/>
        <w:ind w:firstLine="420" w:firstLineChars="200"/>
        <w:rPr>
          <w:rFonts w:ascii="宋体" w:cs="Arial"/>
        </w:rPr>
      </w:pPr>
      <w:r>
        <w:rPr>
          <w:rFonts w:hint="eastAsia" w:ascii="宋体" w:hAnsi="宋体" w:cs="Arial"/>
        </w:rPr>
        <w:t>（</w:t>
      </w:r>
      <w:r>
        <w:rPr>
          <w:rFonts w:ascii="宋体" w:hAnsi="宋体" w:cs="Arial"/>
        </w:rPr>
        <w:t>2</w:t>
      </w:r>
      <w:r>
        <w:rPr>
          <w:rFonts w:hint="eastAsia" w:ascii="宋体" w:hAnsi="宋体" w:cs="Arial"/>
        </w:rPr>
        <w:t>）承包人在合同条款专用部分第</w:t>
      </w:r>
      <w:r>
        <w:rPr>
          <w:rFonts w:ascii="宋体" w:hAnsi="宋体" w:cs="Arial"/>
        </w:rPr>
        <w:t>17.1.3</w:t>
      </w:r>
      <w:r>
        <w:rPr>
          <w:rFonts w:hint="eastAsia" w:ascii="宋体" w:hAnsi="宋体" w:cs="Arial"/>
        </w:rPr>
        <w:t>（</w:t>
      </w:r>
      <w:r>
        <w:rPr>
          <w:rFonts w:ascii="宋体" w:hAnsi="宋体" w:cs="Arial"/>
        </w:rPr>
        <w:t>1</w:t>
      </w:r>
      <w:r>
        <w:rPr>
          <w:rFonts w:hint="eastAsia" w:ascii="宋体" w:hAnsi="宋体" w:cs="Arial"/>
        </w:rPr>
        <w:t>）目约定的每月计量截止日期后，对已完成的分部分项工程和单价措施项目的</w:t>
      </w:r>
      <w:r>
        <w:rPr>
          <w:rFonts w:hint="eastAsia" w:ascii="宋体" w:hAnsi="宋体"/>
          <w:szCs w:val="21"/>
        </w:rPr>
        <w:t>子目</w:t>
      </w:r>
      <w:r>
        <w:rPr>
          <w:rFonts w:hint="eastAsia" w:ascii="宋体" w:hAnsi="宋体" w:cs="Arial"/>
        </w:rPr>
        <w:t>，按照合同条款第</w:t>
      </w:r>
      <w:r>
        <w:rPr>
          <w:rFonts w:ascii="宋体" w:hAnsi="宋体" w:cs="Arial"/>
        </w:rPr>
        <w:t>17.1.2</w:t>
      </w:r>
      <w:r>
        <w:rPr>
          <w:rFonts w:hint="eastAsia" w:ascii="宋体" w:hAnsi="宋体" w:cs="Arial"/>
        </w:rPr>
        <w:t>项约定的计量方法进行计量，对已完成的总价措施项目的相关</w:t>
      </w:r>
      <w:r>
        <w:rPr>
          <w:rFonts w:hint="eastAsia" w:ascii="宋体" w:hAnsi="宋体"/>
          <w:szCs w:val="21"/>
        </w:rPr>
        <w:t>子目，按其总价构成、费用性质和实际发生比例进行计量，向监理人提交进度付款申请单、已完成工程量报表和有关计量资料</w:t>
      </w:r>
      <w:r>
        <w:rPr>
          <w:rFonts w:hint="eastAsia" w:ascii="宋体" w:hAnsi="宋体" w:cs="Arial"/>
        </w:rPr>
        <w:t>。</w:t>
      </w:r>
    </w:p>
    <w:p>
      <w:pPr>
        <w:spacing w:line="360" w:lineRule="auto"/>
        <w:ind w:firstLine="420" w:firstLineChars="200"/>
        <w:rPr>
          <w:rFonts w:ascii="宋体"/>
        </w:rPr>
      </w:pPr>
      <w:r>
        <w:rPr>
          <w:rFonts w:hint="eastAsia" w:ascii="宋体" w:hAnsi="宋体" w:cs="Arial"/>
        </w:rPr>
        <w:t>（</w:t>
      </w:r>
      <w:r>
        <w:rPr>
          <w:rFonts w:ascii="宋体" w:hAnsi="宋体" w:cs="Arial"/>
        </w:rPr>
        <w:t>3</w:t>
      </w:r>
      <w:r>
        <w:rPr>
          <w:rFonts w:hint="eastAsia" w:ascii="宋体" w:hAnsi="宋体" w:cs="Arial"/>
        </w:rPr>
        <w:t>）</w:t>
      </w:r>
      <w:r>
        <w:rPr>
          <w:rFonts w:hint="eastAsia" w:ascii="宋体" w:hAnsi="宋体"/>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）监理人应在收到承包人提交的工程量报表后的</w:t>
      </w:r>
      <w:r>
        <w:rPr>
          <w:rFonts w:ascii="宋体" w:hAnsi="宋体"/>
        </w:rPr>
        <w:t>7</w:t>
      </w:r>
      <w:r>
        <w:rPr>
          <w:rFonts w:hint="eastAsia" w:ascii="宋体" w:hAnsi="宋体"/>
        </w:rPr>
        <w:t>天内进行复核，监理人未在约定时间内复核的，承包人提交的工程量报表中的工程量视为承包人实际完成的工程量，据此计算工程价款。</w:t>
      </w:r>
    </w:p>
    <w:p>
      <w:pPr>
        <w:spacing w:line="360" w:lineRule="auto"/>
        <w:ind w:firstLine="420" w:firstLineChars="200"/>
        <w:rPr>
          <w:rFonts w:ascii="宋体" w:cs="Arial"/>
        </w:rPr>
      </w:pPr>
      <w:r>
        <w:rPr>
          <w:rFonts w:hint="eastAsia" w:ascii="宋体" w:hAnsi="宋体" w:cs="Arial"/>
        </w:rPr>
        <w:t>（</w:t>
      </w:r>
      <w:r>
        <w:rPr>
          <w:rFonts w:ascii="宋体" w:hAnsi="宋体" w:cs="Arial"/>
        </w:rPr>
        <w:t>5</w:t>
      </w:r>
      <w:r>
        <w:rPr>
          <w:rFonts w:hint="eastAsia" w:ascii="宋体" w:hAnsi="宋体" w:cs="Arial"/>
        </w:rPr>
        <w:t>）除按照第</w:t>
      </w:r>
      <w:r>
        <w:rPr>
          <w:rFonts w:ascii="宋体" w:hAnsi="宋体" w:cs="Arial"/>
        </w:rPr>
        <w:t>15</w:t>
      </w:r>
      <w:r>
        <w:rPr>
          <w:rFonts w:hint="eastAsia" w:ascii="宋体" w:hAnsi="宋体" w:cs="Arial"/>
        </w:rPr>
        <w:t>条约定的变更外，在竣工结算时总价</w:t>
      </w:r>
      <w:r>
        <w:rPr>
          <w:rFonts w:hint="eastAsia" w:ascii="宋体" w:hAnsi="宋体"/>
          <w:szCs w:val="21"/>
        </w:rPr>
        <w:t>子目</w:t>
      </w:r>
      <w:r>
        <w:rPr>
          <w:rFonts w:hint="eastAsia" w:ascii="宋体" w:hAnsi="宋体" w:cs="Arial"/>
        </w:rPr>
        <w:t>的工程量不应当重新计量，签约合同价所基于的工程量即是用于竣工结算的最终工程量。</w:t>
      </w:r>
    </w:p>
    <w:p>
      <w:pPr>
        <w:pStyle w:val="155"/>
        <w:spacing w:before="120" w:after="120"/>
      </w:pPr>
      <w:bookmarkStart w:id="2741" w:name="_Toc338944813"/>
      <w:bookmarkStart w:id="2742" w:name="_Toc483668187"/>
      <w:bookmarkStart w:id="2743" w:name="_Toc480486840"/>
      <w:bookmarkStart w:id="2744" w:name="_Toc486580158"/>
      <w:bookmarkStart w:id="2745" w:name="_Toc342296371"/>
      <w:bookmarkStart w:id="2746" w:name="_Toc489279969"/>
      <w:bookmarkStart w:id="2747" w:name="_Toc480487012"/>
      <w:bookmarkStart w:id="2748" w:name="_Toc490222603"/>
      <w:bookmarkStart w:id="2749" w:name="_Toc117350527"/>
      <w:r>
        <w:t xml:space="preserve">17.2  </w:t>
      </w:r>
      <w:r>
        <w:rPr>
          <w:rFonts w:hint="eastAsia"/>
        </w:rPr>
        <w:t>预付款</w:t>
      </w:r>
      <w:bookmarkEnd w:id="2741"/>
      <w:bookmarkEnd w:id="2742"/>
      <w:bookmarkEnd w:id="2743"/>
      <w:bookmarkEnd w:id="2744"/>
      <w:bookmarkEnd w:id="2745"/>
      <w:bookmarkEnd w:id="2746"/>
      <w:bookmarkEnd w:id="2747"/>
      <w:bookmarkEnd w:id="2748"/>
      <w:bookmarkEnd w:id="2749"/>
    </w:p>
    <w:p>
      <w:pPr>
        <w:spacing w:line="360" w:lineRule="auto"/>
        <w:ind w:firstLine="420" w:firstLineChars="200"/>
        <w:rPr>
          <w:rFonts w:ascii="宋体"/>
        </w:rPr>
      </w:pPr>
      <w:r>
        <w:rPr>
          <w:rFonts w:ascii="宋体" w:hAnsi="宋体"/>
        </w:rPr>
        <w:t xml:space="preserve">17.2.1  </w:t>
      </w:r>
      <w:r>
        <w:rPr>
          <w:rFonts w:hint="eastAsia" w:ascii="宋体" w:hAnsi="宋体"/>
        </w:rPr>
        <w:t>预付款</w:t>
      </w:r>
    </w:p>
    <w:p>
      <w:pPr>
        <w:spacing w:line="360" w:lineRule="auto"/>
        <w:ind w:firstLine="420" w:firstLineChars="200"/>
        <w:rPr>
          <w:rFonts w:ascii="宋体"/>
        </w:rPr>
      </w:pPr>
      <w:r>
        <w:rPr>
          <w:rFonts w:hint="eastAsia" w:ascii="宋体" w:hAnsi="宋体"/>
        </w:rPr>
        <w:t>预付款用于承包人为合同工程施工购置材料、工程设备、施工设备、修建临时设施以及组织施工队伍进场等。预付款必须专用于合同工程。预付款的额度和预付办法以及支付时间</w:t>
      </w:r>
      <w:r>
        <w:rPr>
          <w:rFonts w:hint="eastAsia" w:ascii="黑体" w:hAnsi="黑体" w:eastAsia="黑体"/>
        </w:rPr>
        <w:t>见合同条款专用部分</w:t>
      </w:r>
      <w:r>
        <w:rPr>
          <w:rFonts w:hint="eastAsia" w:ascii="宋体" w:hAnsi="宋体"/>
        </w:rPr>
        <w:t>。</w:t>
      </w:r>
    </w:p>
    <w:p>
      <w:pPr>
        <w:spacing w:line="360" w:lineRule="auto"/>
        <w:ind w:firstLine="420" w:firstLineChars="200"/>
        <w:rPr>
          <w:rFonts w:ascii="宋体"/>
        </w:rPr>
      </w:pPr>
      <w:r>
        <w:rPr>
          <w:rFonts w:hint="eastAsia" w:ascii="宋体" w:hAnsi="宋体"/>
          <w:szCs w:val="21"/>
        </w:rPr>
        <w:t>安全文明施工费用预付款额度及方式</w:t>
      </w:r>
      <w:r>
        <w:rPr>
          <w:rFonts w:hint="eastAsia" w:ascii="黑体" w:hAnsi="黑体" w:eastAsia="黑体"/>
          <w:szCs w:val="21"/>
        </w:rPr>
        <w:t>见合同条款专用部分</w:t>
      </w:r>
      <w:r>
        <w:rPr>
          <w:rFonts w:hint="eastAsia" w:ascii="宋体" w:hAnsi="宋体"/>
        </w:rPr>
        <w:t>。</w:t>
      </w:r>
    </w:p>
    <w:p>
      <w:pPr>
        <w:spacing w:line="360" w:lineRule="auto"/>
        <w:ind w:firstLine="420" w:firstLineChars="200"/>
        <w:rPr>
          <w:rFonts w:ascii="宋体"/>
        </w:rPr>
      </w:pPr>
      <w:r>
        <w:rPr>
          <w:rFonts w:hint="eastAsia" w:ascii="宋体" w:hAnsi="宋体"/>
          <w:szCs w:val="21"/>
        </w:rPr>
        <w:t>发包人逾期支付合同约定的预付款，除承担第</w:t>
      </w:r>
      <w:r>
        <w:rPr>
          <w:rFonts w:ascii="宋体" w:hAnsi="宋体"/>
          <w:szCs w:val="21"/>
        </w:rPr>
        <w:t>22.2</w:t>
      </w:r>
      <w:r>
        <w:rPr>
          <w:rFonts w:hint="eastAsia" w:ascii="宋体" w:hAnsi="宋体"/>
          <w:szCs w:val="21"/>
        </w:rPr>
        <w:t>款约定的违约责任外，还应向承包人支付按第</w:t>
      </w:r>
      <w:r>
        <w:rPr>
          <w:rFonts w:ascii="宋体" w:hAnsi="宋体"/>
          <w:szCs w:val="21"/>
        </w:rPr>
        <w:t>17.3.3(2)</w:t>
      </w:r>
      <w:r>
        <w:rPr>
          <w:rFonts w:hint="eastAsia" w:ascii="宋体" w:hAnsi="宋体"/>
          <w:szCs w:val="21"/>
        </w:rPr>
        <w:t>目约定的标准和方法计算的逾期付款违约金。</w:t>
      </w:r>
    </w:p>
    <w:p>
      <w:pPr>
        <w:spacing w:line="360" w:lineRule="auto"/>
        <w:ind w:firstLine="420" w:firstLineChars="200"/>
        <w:rPr>
          <w:rFonts w:ascii="宋体"/>
        </w:rPr>
      </w:pPr>
      <w:r>
        <w:rPr>
          <w:rFonts w:ascii="宋体" w:hAnsi="宋体"/>
        </w:rPr>
        <w:t xml:space="preserve">17.2.2  </w:t>
      </w:r>
      <w:r>
        <w:rPr>
          <w:rFonts w:hint="eastAsia" w:ascii="宋体" w:hAnsi="宋体"/>
        </w:rPr>
        <w:t>预付款的扣回与还清</w:t>
      </w:r>
    </w:p>
    <w:p>
      <w:pPr>
        <w:spacing w:line="360" w:lineRule="auto"/>
        <w:ind w:firstLine="420" w:firstLineChars="200"/>
        <w:rPr>
          <w:rFonts w:ascii="宋体"/>
        </w:rPr>
      </w:pPr>
      <w:r>
        <w:rPr>
          <w:rFonts w:hint="eastAsia" w:ascii="宋体" w:hAnsi="宋体"/>
        </w:rPr>
        <w:t>预付款在进度付款中按照合同约定扣回。在颁发工程接收证书前，由于不可抗力或其他原因解除合同时，预付款尚未扣清的，尚未扣清的预付款余额应作为承包人的到期应付款。预付款扣回办法</w:t>
      </w:r>
      <w:r>
        <w:rPr>
          <w:rFonts w:hint="eastAsia" w:ascii="黑体" w:hAnsi="黑体" w:eastAsia="黑体"/>
          <w:szCs w:val="21"/>
        </w:rPr>
        <w:t>见合同条款专用部分</w:t>
      </w:r>
      <w:r>
        <w:rPr>
          <w:rFonts w:hint="eastAsia" w:ascii="宋体" w:hAnsi="宋体"/>
        </w:rPr>
        <w:t>。</w:t>
      </w:r>
    </w:p>
    <w:p>
      <w:pPr>
        <w:pStyle w:val="155"/>
        <w:spacing w:before="120" w:after="120"/>
      </w:pPr>
      <w:bookmarkStart w:id="2750" w:name="_Toc490222604"/>
      <w:bookmarkStart w:id="2751" w:name="_Toc489279970"/>
      <w:bookmarkStart w:id="2752" w:name="_Toc338944814"/>
      <w:bookmarkStart w:id="2753" w:name="_Toc486580159"/>
      <w:bookmarkStart w:id="2754" w:name="_Toc480486841"/>
      <w:bookmarkStart w:id="2755" w:name="_Toc480487013"/>
      <w:bookmarkStart w:id="2756" w:name="_Toc342296372"/>
      <w:bookmarkStart w:id="2757" w:name="_Toc483668188"/>
      <w:bookmarkStart w:id="2758" w:name="_Toc117350528"/>
      <w:r>
        <w:t xml:space="preserve">17.3  </w:t>
      </w:r>
      <w:r>
        <w:rPr>
          <w:rFonts w:hint="eastAsia"/>
        </w:rPr>
        <w:t>工程进度付款</w:t>
      </w:r>
      <w:bookmarkEnd w:id="2750"/>
      <w:bookmarkEnd w:id="2751"/>
      <w:bookmarkEnd w:id="2752"/>
      <w:bookmarkEnd w:id="2753"/>
      <w:bookmarkEnd w:id="2754"/>
      <w:bookmarkEnd w:id="2755"/>
      <w:bookmarkEnd w:id="2756"/>
      <w:bookmarkEnd w:id="2757"/>
      <w:bookmarkEnd w:id="2758"/>
    </w:p>
    <w:p>
      <w:pPr>
        <w:spacing w:line="360" w:lineRule="auto"/>
        <w:ind w:firstLine="420" w:firstLineChars="200"/>
        <w:rPr>
          <w:rFonts w:ascii="宋体"/>
        </w:rPr>
      </w:pPr>
      <w:r>
        <w:rPr>
          <w:rFonts w:ascii="宋体" w:hAnsi="宋体"/>
        </w:rPr>
        <w:t xml:space="preserve">17.3.1  </w:t>
      </w:r>
      <w:r>
        <w:rPr>
          <w:rFonts w:hint="eastAsia" w:ascii="宋体" w:hAnsi="宋体"/>
        </w:rPr>
        <w:t>付款周期</w:t>
      </w:r>
    </w:p>
    <w:p>
      <w:pPr>
        <w:spacing w:line="360" w:lineRule="auto"/>
        <w:ind w:firstLine="420" w:firstLineChars="200"/>
        <w:rPr>
          <w:rFonts w:ascii="宋体"/>
        </w:rPr>
      </w:pPr>
      <w:r>
        <w:rPr>
          <w:rFonts w:hint="eastAsia" w:ascii="宋体" w:hAnsi="宋体"/>
        </w:rPr>
        <w:t>付款周期同计量周期。</w:t>
      </w:r>
    </w:p>
    <w:p>
      <w:pPr>
        <w:spacing w:line="360" w:lineRule="auto"/>
        <w:ind w:firstLine="420" w:firstLineChars="200"/>
        <w:rPr>
          <w:rFonts w:ascii="宋体"/>
        </w:rPr>
      </w:pPr>
      <w:r>
        <w:rPr>
          <w:rFonts w:ascii="宋体" w:hAnsi="宋体"/>
        </w:rPr>
        <w:t xml:space="preserve">17.3.2  </w:t>
      </w:r>
      <w:r>
        <w:rPr>
          <w:rFonts w:hint="eastAsia" w:ascii="宋体" w:hAnsi="宋体"/>
        </w:rPr>
        <w:t>进度付款申请单</w:t>
      </w:r>
    </w:p>
    <w:p>
      <w:pPr>
        <w:spacing w:line="360" w:lineRule="auto"/>
        <w:ind w:firstLine="420" w:firstLineChars="200"/>
        <w:rPr>
          <w:rFonts w:ascii="宋体"/>
        </w:rPr>
      </w:pPr>
      <w:r>
        <w:rPr>
          <w:rFonts w:hint="eastAsia" w:ascii="宋体" w:hAnsi="宋体"/>
        </w:rPr>
        <w:t>承包人应在每个付款周期末，按监理人批准的格式和合同约定的份数，向监理人提交进度付款申请单，并附相应的支持性证明文件。承包人提交进度付款申请单份数</w:t>
      </w:r>
      <w:r>
        <w:rPr>
          <w:rFonts w:hint="eastAsia" w:ascii="黑体" w:hAnsi="黑体" w:eastAsia="黑体"/>
          <w:szCs w:val="21"/>
        </w:rPr>
        <w:t>见合同条款专用部分</w:t>
      </w:r>
      <w:r>
        <w:rPr>
          <w:rFonts w:hint="eastAsia" w:ascii="宋体" w:hAnsi="宋体"/>
        </w:rPr>
        <w:t>。</w:t>
      </w:r>
    </w:p>
    <w:p>
      <w:pPr>
        <w:spacing w:line="360" w:lineRule="auto"/>
        <w:ind w:firstLine="420" w:firstLineChars="200"/>
        <w:rPr>
          <w:rFonts w:ascii="宋体"/>
          <w:dstrike/>
          <w:szCs w:val="21"/>
        </w:rPr>
      </w:pPr>
      <w:r>
        <w:rPr>
          <w:rFonts w:hint="eastAsia" w:ascii="宋体" w:hAnsi="宋体"/>
        </w:rPr>
        <w:t>承包人报送监理人的进度付款申请单应包括下列内容：</w:t>
      </w:r>
    </w:p>
    <w:p>
      <w:pPr>
        <w:spacing w:line="360" w:lineRule="auto"/>
        <w:ind w:firstLine="315" w:firstLineChars="150"/>
        <w:rPr>
          <w:rFonts w:ascii="宋体"/>
        </w:rPr>
      </w:pPr>
      <w:r>
        <w:rPr>
          <w:rFonts w:hint="eastAsia" w:ascii="宋体" w:hAnsi="宋体"/>
        </w:rPr>
        <w:t>（</w:t>
      </w:r>
      <w:r>
        <w:rPr>
          <w:rFonts w:ascii="宋体" w:hAnsi="宋体"/>
        </w:rPr>
        <w:t>1</w:t>
      </w:r>
      <w:r>
        <w:rPr>
          <w:rFonts w:hint="eastAsia" w:ascii="宋体" w:hAnsi="宋体"/>
        </w:rPr>
        <w:t>）截至本次付款周期末已实施工程的价款</w:t>
      </w:r>
      <w:bookmarkStart w:id="2759" w:name="_Hlk114650047"/>
      <w:r>
        <w:rPr>
          <w:rFonts w:hint="eastAsia" w:ascii="宋体" w:hAnsi="宋体"/>
        </w:rPr>
        <w:t>及其中人工费占工程款比例</w:t>
      </w:r>
      <w:bookmarkEnd w:id="2759"/>
      <w:r>
        <w:rPr>
          <w:rFonts w:hint="eastAsia" w:ascii="宋体" w:hAnsi="宋体"/>
        </w:rPr>
        <w:t>；</w:t>
      </w:r>
    </w:p>
    <w:p>
      <w:pPr>
        <w:spacing w:line="360" w:lineRule="auto"/>
        <w:ind w:firstLine="315" w:firstLineChars="150"/>
        <w:rPr>
          <w:rFonts w:ascii="宋体"/>
        </w:rPr>
      </w:pPr>
      <w:r>
        <w:rPr>
          <w:rFonts w:hint="eastAsia" w:ascii="宋体" w:hAnsi="宋体"/>
        </w:rPr>
        <w:t>（</w:t>
      </w:r>
      <w:r>
        <w:rPr>
          <w:rFonts w:ascii="宋体" w:hAnsi="宋体"/>
        </w:rPr>
        <w:t>2</w:t>
      </w:r>
      <w:r>
        <w:rPr>
          <w:rFonts w:hint="eastAsia" w:ascii="宋体" w:hAnsi="宋体"/>
        </w:rPr>
        <w:t>）根据第</w:t>
      </w:r>
      <w:r>
        <w:rPr>
          <w:rFonts w:ascii="宋体" w:hAnsi="宋体"/>
        </w:rPr>
        <w:t>15</w:t>
      </w:r>
      <w:r>
        <w:rPr>
          <w:rFonts w:hint="eastAsia" w:ascii="宋体" w:hAnsi="宋体"/>
        </w:rPr>
        <w:t>条应增加和扣减的变更金额；</w:t>
      </w:r>
    </w:p>
    <w:p>
      <w:pPr>
        <w:spacing w:line="360" w:lineRule="auto"/>
        <w:ind w:firstLine="315" w:firstLineChars="150"/>
        <w:rPr>
          <w:rFonts w:ascii="宋体"/>
        </w:rPr>
      </w:pPr>
      <w:r>
        <w:rPr>
          <w:rFonts w:hint="eastAsia" w:ascii="宋体" w:hAnsi="宋体"/>
        </w:rPr>
        <w:t>（</w:t>
      </w:r>
      <w:r>
        <w:rPr>
          <w:rFonts w:ascii="宋体" w:hAnsi="宋体"/>
        </w:rPr>
        <w:t>3</w:t>
      </w:r>
      <w:r>
        <w:rPr>
          <w:rFonts w:hint="eastAsia" w:ascii="宋体" w:hAnsi="宋体"/>
        </w:rPr>
        <w:t>）根据第</w:t>
      </w:r>
      <w:r>
        <w:rPr>
          <w:rFonts w:ascii="宋体" w:hAnsi="宋体"/>
        </w:rPr>
        <w:t>23</w:t>
      </w:r>
      <w:r>
        <w:rPr>
          <w:rFonts w:hint="eastAsia" w:ascii="宋体" w:hAnsi="宋体"/>
        </w:rPr>
        <w:t>条应增加和扣减的索赔金额；</w:t>
      </w:r>
    </w:p>
    <w:p>
      <w:pPr>
        <w:spacing w:line="360" w:lineRule="auto"/>
        <w:ind w:firstLine="315" w:firstLineChars="150"/>
        <w:rPr>
          <w:rFonts w:ascii="宋体"/>
        </w:rPr>
      </w:pPr>
      <w:r>
        <w:rPr>
          <w:rFonts w:hint="eastAsia" w:ascii="宋体" w:hAnsi="宋体"/>
        </w:rPr>
        <w:t>（</w:t>
      </w:r>
      <w:r>
        <w:rPr>
          <w:rFonts w:ascii="宋体" w:hAnsi="宋体"/>
        </w:rPr>
        <w:t>4</w:t>
      </w:r>
      <w:r>
        <w:rPr>
          <w:rFonts w:hint="eastAsia" w:ascii="宋体" w:hAnsi="宋体"/>
        </w:rPr>
        <w:t>）根据第</w:t>
      </w:r>
      <w:r>
        <w:rPr>
          <w:rFonts w:ascii="宋体" w:hAnsi="宋体"/>
        </w:rPr>
        <w:t>17.2</w:t>
      </w:r>
      <w:r>
        <w:rPr>
          <w:rFonts w:hint="eastAsia" w:ascii="宋体" w:hAnsi="宋体"/>
        </w:rPr>
        <w:t>款约定应支付的预付款和扣减的返还预付款；</w:t>
      </w:r>
    </w:p>
    <w:p>
      <w:pPr>
        <w:spacing w:line="360" w:lineRule="auto"/>
        <w:ind w:firstLine="315" w:firstLineChars="150"/>
        <w:rPr>
          <w:rFonts w:ascii="宋体"/>
        </w:rPr>
      </w:pPr>
      <w:r>
        <w:rPr>
          <w:rFonts w:hint="eastAsia" w:ascii="宋体" w:hAnsi="宋体"/>
        </w:rPr>
        <w:t>（</w:t>
      </w:r>
      <w:r>
        <w:rPr>
          <w:rFonts w:ascii="宋体" w:hAnsi="宋体"/>
        </w:rPr>
        <w:t>5</w:t>
      </w:r>
      <w:r>
        <w:rPr>
          <w:rFonts w:hint="eastAsia" w:ascii="宋体" w:hAnsi="宋体"/>
        </w:rPr>
        <w:t>）根据第</w:t>
      </w:r>
      <w:r>
        <w:rPr>
          <w:rFonts w:ascii="宋体" w:hAnsi="宋体"/>
        </w:rPr>
        <w:t>17.4.1</w:t>
      </w:r>
      <w:r>
        <w:rPr>
          <w:rFonts w:hint="eastAsia" w:ascii="宋体" w:hAnsi="宋体"/>
        </w:rPr>
        <w:t>项约定应扣减的质量保证金；</w:t>
      </w:r>
    </w:p>
    <w:p>
      <w:pPr>
        <w:spacing w:line="360" w:lineRule="auto"/>
        <w:ind w:firstLine="315" w:firstLineChars="150"/>
        <w:rPr>
          <w:rFonts w:ascii="宋体" w:hAnsi="宋体"/>
        </w:rPr>
      </w:pPr>
      <w:r>
        <w:rPr>
          <w:rFonts w:hint="eastAsia" w:ascii="宋体" w:hAnsi="宋体"/>
        </w:rPr>
        <w:t>（</w:t>
      </w:r>
      <w:r>
        <w:rPr>
          <w:rFonts w:ascii="宋体" w:hAnsi="宋体"/>
        </w:rPr>
        <w:t>6</w:t>
      </w:r>
      <w:r>
        <w:rPr>
          <w:rFonts w:hint="eastAsia" w:ascii="宋体" w:hAnsi="宋体"/>
        </w:rPr>
        <w:t>）根据合同应增加和（或）扣减的其他内容金额</w:t>
      </w:r>
      <w:r>
        <w:rPr>
          <w:rFonts w:hint="eastAsia" w:ascii="黑体" w:hAnsi="黑体" w:eastAsia="黑体"/>
          <w:szCs w:val="21"/>
        </w:rPr>
        <w:t>见合同条款专用部分</w:t>
      </w:r>
      <w:r>
        <w:rPr>
          <w:rFonts w:hint="eastAsia" w:ascii="宋体" w:hAnsi="宋体"/>
        </w:rPr>
        <w:t>；</w:t>
      </w:r>
    </w:p>
    <w:p>
      <w:pPr>
        <w:spacing w:line="360" w:lineRule="auto"/>
        <w:ind w:firstLine="315" w:firstLineChars="150"/>
        <w:rPr>
          <w:rFonts w:ascii="宋体" w:hAnsi="宋体"/>
        </w:rPr>
      </w:pPr>
      <w:bookmarkStart w:id="2760" w:name="_Hlk114650054"/>
      <w:r>
        <w:rPr>
          <w:rFonts w:hint="eastAsia" w:ascii="宋体" w:hAnsi="宋体"/>
        </w:rPr>
        <w:t>（</w:t>
      </w:r>
      <w:r>
        <w:rPr>
          <w:rFonts w:ascii="宋体" w:hAnsi="宋体"/>
        </w:rPr>
        <w:t>7</w:t>
      </w:r>
      <w:r>
        <w:rPr>
          <w:rFonts w:hint="eastAsia" w:ascii="宋体" w:hAnsi="宋体"/>
        </w:rPr>
        <w:t>）本次应付进度款</w:t>
      </w:r>
      <w:r>
        <w:rPr>
          <w:rFonts w:hint="eastAsia" w:ascii="黑体" w:hAnsi="黑体" w:eastAsia="黑体"/>
          <w:szCs w:val="21"/>
        </w:rPr>
        <w:t>见合同条款专用部分</w:t>
      </w:r>
      <w:r>
        <w:rPr>
          <w:rFonts w:hint="eastAsia" w:ascii="宋体" w:hAnsi="宋体"/>
        </w:rPr>
        <w:t>。</w:t>
      </w:r>
    </w:p>
    <w:p>
      <w:pPr>
        <w:spacing w:line="360" w:lineRule="auto"/>
        <w:ind w:firstLine="315" w:firstLineChars="150"/>
        <w:rPr>
          <w:rFonts w:ascii="宋体" w:hAnsi="宋体"/>
        </w:rPr>
      </w:pPr>
      <w:r>
        <w:rPr>
          <w:rFonts w:hint="eastAsia" w:ascii="宋体" w:hAnsi="宋体"/>
        </w:rPr>
        <w:t>政府机关、事业单位、国有企业建设工程进度款支付应不低于已完成工程价款的</w:t>
      </w:r>
      <w:r>
        <w:rPr>
          <w:rFonts w:ascii="宋体" w:hAnsi="宋体"/>
        </w:rPr>
        <w:t>80%</w:t>
      </w:r>
      <w:r>
        <w:rPr>
          <w:rFonts w:hint="eastAsia" w:ascii="宋体" w:hAnsi="宋体"/>
        </w:rPr>
        <w:t>。</w:t>
      </w:r>
    </w:p>
    <w:bookmarkEnd w:id="2760"/>
    <w:p>
      <w:pPr>
        <w:spacing w:line="360" w:lineRule="auto"/>
        <w:ind w:firstLine="420" w:firstLineChars="200"/>
        <w:rPr>
          <w:rFonts w:ascii="宋体"/>
        </w:rPr>
      </w:pPr>
      <w:r>
        <w:rPr>
          <w:rFonts w:ascii="宋体" w:hAnsi="宋体"/>
        </w:rPr>
        <w:t xml:space="preserve">17.3.3  </w:t>
      </w:r>
      <w:r>
        <w:rPr>
          <w:rFonts w:hint="eastAsia" w:ascii="宋体" w:hAnsi="宋体"/>
        </w:rPr>
        <w:t>进度付款证书和支付时间</w:t>
      </w:r>
    </w:p>
    <w:p>
      <w:pPr>
        <w:spacing w:line="360" w:lineRule="auto"/>
        <w:ind w:firstLine="420" w:firstLineChars="200"/>
        <w:rPr>
          <w:rFonts w:ascii="宋体"/>
        </w:rPr>
      </w:pPr>
      <w:r>
        <w:rPr>
          <w:rFonts w:hint="eastAsia" w:ascii="宋体" w:hAnsi="宋体"/>
        </w:rPr>
        <w:t>（</w:t>
      </w:r>
      <w:r>
        <w:rPr>
          <w:rFonts w:ascii="宋体" w:hAnsi="宋体"/>
        </w:rPr>
        <w:t>1</w:t>
      </w:r>
      <w:r>
        <w:rPr>
          <w:rFonts w:hint="eastAsia" w:ascii="宋体" w:hAnsi="宋体"/>
        </w:rPr>
        <w:t>）监理人在收到承包人进度付款申请单以及相应的支持性证明文件后的</w:t>
      </w:r>
      <w:r>
        <w:rPr>
          <w:rFonts w:ascii="宋体" w:hAnsi="宋体"/>
        </w:rPr>
        <w:t>14</w:t>
      </w:r>
      <w:r>
        <w:rPr>
          <w:rFonts w:hint="eastAsia" w:ascii="宋体" w:hAnsi="宋体"/>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360" w:lineRule="auto"/>
        <w:ind w:firstLine="420" w:firstLineChars="200"/>
        <w:rPr>
          <w:rFonts w:ascii="宋体"/>
        </w:rPr>
      </w:pPr>
      <w:r>
        <w:rPr>
          <w:rFonts w:hint="eastAsia" w:ascii="宋体" w:hAnsi="宋体"/>
        </w:rPr>
        <w:t>（</w:t>
      </w:r>
      <w:r>
        <w:rPr>
          <w:rFonts w:ascii="宋体" w:hAnsi="宋体"/>
        </w:rPr>
        <w:t>2</w:t>
      </w:r>
      <w:r>
        <w:rPr>
          <w:rFonts w:hint="eastAsia" w:ascii="宋体" w:hAnsi="宋体"/>
        </w:rPr>
        <w:t>）发包人应在监理人收到进度付款申请单后的</w:t>
      </w:r>
      <w:r>
        <w:rPr>
          <w:rFonts w:ascii="宋体" w:hAnsi="宋体"/>
        </w:rPr>
        <w:t>28</w:t>
      </w:r>
      <w:r>
        <w:rPr>
          <w:rFonts w:hint="eastAsia" w:ascii="宋体" w:hAnsi="宋体"/>
        </w:rPr>
        <w:t>天内，将进度应付款支付给承包人。发包人未按第</w:t>
      </w:r>
      <w:r>
        <w:rPr>
          <w:rFonts w:ascii="宋体" w:hAnsi="宋体"/>
        </w:rPr>
        <w:t>17.2.1(2)</w:t>
      </w:r>
      <w:r>
        <w:rPr>
          <w:rFonts w:hint="eastAsia" w:ascii="宋体" w:hAnsi="宋体"/>
        </w:rPr>
        <w:t>目、第</w:t>
      </w:r>
      <w:r>
        <w:rPr>
          <w:rFonts w:ascii="宋体" w:hAnsi="宋体"/>
        </w:rPr>
        <w:t>17.3.3(2)</w:t>
      </w:r>
      <w:r>
        <w:rPr>
          <w:rFonts w:hint="eastAsia" w:ascii="宋体" w:hAnsi="宋体"/>
        </w:rPr>
        <w:t>目、第</w:t>
      </w:r>
      <w:r>
        <w:rPr>
          <w:rFonts w:ascii="宋体" w:hAnsi="宋体"/>
        </w:rPr>
        <w:t>17.5.3(2)</w:t>
      </w:r>
      <w:r>
        <w:rPr>
          <w:rFonts w:hint="eastAsia" w:ascii="宋体" w:hAnsi="宋体"/>
        </w:rPr>
        <w:t>目和第</w:t>
      </w:r>
      <w:r>
        <w:rPr>
          <w:rFonts w:ascii="宋体" w:hAnsi="宋体"/>
        </w:rPr>
        <w:t>17.6.2(2)</w:t>
      </w:r>
      <w:r>
        <w:rPr>
          <w:rFonts w:hint="eastAsia" w:ascii="宋体" w:hAnsi="宋体"/>
        </w:rPr>
        <w:t>目约定的期限支付承包人依合同约定应当得到的款项，应当从应付之日起按照合同约定的计算标准和计算方法向承包人支付逾期付款违约金。承包人应当按第</w:t>
      </w:r>
      <w:r>
        <w:rPr>
          <w:rFonts w:ascii="宋体" w:hAnsi="宋体"/>
        </w:rPr>
        <w:t>23.1</w:t>
      </w:r>
      <w:r>
        <w:rPr>
          <w:rFonts w:hint="eastAsia" w:ascii="宋体" w:hAnsi="宋体"/>
        </w:rPr>
        <w:t>（</w:t>
      </w:r>
      <w:r>
        <w:rPr>
          <w:rFonts w:ascii="宋体" w:hAnsi="宋体"/>
        </w:rPr>
        <w:t>1</w:t>
      </w:r>
      <w:r>
        <w:rPr>
          <w:rFonts w:hint="eastAsia" w:ascii="宋体" w:hAnsi="宋体"/>
        </w:rPr>
        <w:t>）目的约定，在最终付款期限到期后</w:t>
      </w:r>
      <w:r>
        <w:rPr>
          <w:rFonts w:ascii="宋体" w:hAnsi="宋体"/>
        </w:rPr>
        <w:t>28</w:t>
      </w:r>
      <w:r>
        <w:rPr>
          <w:rFonts w:hint="eastAsia" w:ascii="宋体" w:hAnsi="宋体"/>
        </w:rPr>
        <w:t>天内，向监理人递交索赔意向通知书</w:t>
      </w:r>
      <w:r>
        <w:rPr>
          <w:rFonts w:ascii="宋体"/>
        </w:rPr>
        <w:t>,</w:t>
      </w:r>
      <w:r>
        <w:rPr>
          <w:rFonts w:hint="eastAsia" w:ascii="宋体" w:hAnsi="宋体"/>
        </w:rPr>
        <w:t>说明有权得到按本款约定的标准和方法计算的逾期付款违约金。承包人要求发包人支付逾期付款违约金不影响承包人要求发包人承担第</w:t>
      </w:r>
      <w:r>
        <w:rPr>
          <w:rFonts w:ascii="宋体" w:hAnsi="宋体"/>
        </w:rPr>
        <w:t>22.2</w:t>
      </w:r>
      <w:r>
        <w:rPr>
          <w:rFonts w:hint="eastAsia" w:ascii="宋体" w:hAnsi="宋体"/>
        </w:rPr>
        <w:t>款约定的其他违约责任的权利。逾期付款违约金计算标准和计算方法</w:t>
      </w:r>
      <w:r>
        <w:rPr>
          <w:rFonts w:hint="eastAsia" w:ascii="黑体" w:hAnsi="黑体" w:eastAsia="黑体"/>
        </w:rPr>
        <w:t>见合同条款专用部分</w:t>
      </w:r>
      <w:r>
        <w:rPr>
          <w:rFonts w:hint="eastAsia" w:ascii="宋体" w:hAnsi="宋体"/>
        </w:rPr>
        <w:t>。</w:t>
      </w:r>
    </w:p>
    <w:p>
      <w:pPr>
        <w:spacing w:line="360" w:lineRule="auto"/>
        <w:ind w:firstLine="420" w:firstLineChars="200"/>
        <w:rPr>
          <w:rFonts w:ascii="宋体"/>
        </w:rPr>
      </w:pPr>
      <w:r>
        <w:rPr>
          <w:rFonts w:hint="eastAsia" w:ascii="宋体" w:hAnsi="宋体"/>
        </w:rPr>
        <w:t>（</w:t>
      </w:r>
      <w:r>
        <w:rPr>
          <w:rFonts w:ascii="宋体" w:hAnsi="宋体"/>
        </w:rPr>
        <w:t>3</w:t>
      </w:r>
      <w:r>
        <w:rPr>
          <w:rFonts w:hint="eastAsia" w:ascii="宋体" w:hAnsi="宋体"/>
        </w:rPr>
        <w:t>）监理人出具进度付款证书，不应视为监理人已同意、批准或接受了承包人完成的该部分工作。</w:t>
      </w:r>
    </w:p>
    <w:p>
      <w:pPr>
        <w:spacing w:line="360" w:lineRule="auto"/>
        <w:ind w:firstLine="420" w:firstLineChars="200"/>
        <w:rPr>
          <w:rFonts w:ascii="宋体"/>
        </w:rPr>
      </w:pPr>
      <w:r>
        <w:rPr>
          <w:rFonts w:hint="eastAsia" w:ascii="宋体" w:hAnsi="宋体"/>
        </w:rPr>
        <w:t>（</w:t>
      </w:r>
      <w:r>
        <w:rPr>
          <w:rFonts w:ascii="宋体" w:hAnsi="宋体"/>
        </w:rPr>
        <w:t>4</w:t>
      </w:r>
      <w:r>
        <w:rPr>
          <w:rFonts w:hint="eastAsia" w:ascii="宋体" w:hAnsi="宋体"/>
        </w:rPr>
        <w:t>）进度付款涉及政府投资资金的，按照国库集中支付等国家相关规定和合同约定办理。进度付款涉及政府性资金的支付方法</w:t>
      </w:r>
      <w:r>
        <w:rPr>
          <w:rFonts w:hint="eastAsia" w:ascii="黑体" w:hAnsi="黑体" w:eastAsia="黑体"/>
        </w:rPr>
        <w:t>见合同条款专用部分</w:t>
      </w:r>
      <w:r>
        <w:rPr>
          <w:rFonts w:hint="eastAsia" w:ascii="宋体" w:hAnsi="宋体"/>
        </w:rPr>
        <w:t>。</w:t>
      </w:r>
    </w:p>
    <w:p>
      <w:pPr>
        <w:spacing w:line="360" w:lineRule="auto"/>
        <w:ind w:firstLine="420" w:firstLineChars="200"/>
        <w:rPr>
          <w:rFonts w:ascii="宋体"/>
        </w:rPr>
      </w:pPr>
      <w:r>
        <w:rPr>
          <w:rFonts w:ascii="宋体" w:hAnsi="宋体"/>
        </w:rPr>
        <w:t xml:space="preserve">17.3.4  </w:t>
      </w:r>
      <w:r>
        <w:rPr>
          <w:rFonts w:hint="eastAsia" w:ascii="宋体" w:hAnsi="宋体"/>
        </w:rPr>
        <w:t>工程进度付款的修正</w:t>
      </w:r>
    </w:p>
    <w:p>
      <w:pPr>
        <w:spacing w:line="360" w:lineRule="auto"/>
        <w:ind w:firstLine="420" w:firstLineChars="200"/>
        <w:rPr>
          <w:rFonts w:ascii="宋体"/>
        </w:rPr>
      </w:pPr>
      <w:r>
        <w:rPr>
          <w:rFonts w:hint="eastAsia" w:ascii="宋体" w:hAnsi="宋体"/>
        </w:rPr>
        <w:t>在对以往历次已签发的进度付款证书进行汇总和复核中发现错、漏或重复的，监理人有权予以修正，承包人也有权提出修正申请。经双方复核同意的修正，应在本次进度付款中支付或扣除。</w:t>
      </w:r>
    </w:p>
    <w:p>
      <w:pPr>
        <w:spacing w:line="360" w:lineRule="auto"/>
        <w:ind w:firstLine="420" w:firstLineChars="200"/>
        <w:rPr>
          <w:rFonts w:ascii="宋体"/>
          <w:szCs w:val="21"/>
        </w:rPr>
      </w:pPr>
      <w:r>
        <w:rPr>
          <w:rFonts w:ascii="宋体" w:hAnsi="宋体"/>
          <w:szCs w:val="21"/>
        </w:rPr>
        <w:t xml:space="preserve">17.3.5  </w:t>
      </w:r>
      <w:r>
        <w:rPr>
          <w:rFonts w:hint="eastAsia" w:ascii="宋体" w:hAnsi="宋体"/>
          <w:szCs w:val="21"/>
        </w:rPr>
        <w:t>临时付款证书</w:t>
      </w:r>
    </w:p>
    <w:p>
      <w:pPr>
        <w:spacing w:line="360" w:lineRule="auto"/>
        <w:ind w:firstLine="420" w:firstLineChars="200"/>
        <w:rPr>
          <w:rFonts w:ascii="宋体"/>
          <w:szCs w:val="21"/>
        </w:rPr>
      </w:pPr>
      <w:r>
        <w:rPr>
          <w:rFonts w:hint="eastAsia" w:ascii="宋体" w:hAnsi="宋体"/>
          <w:szCs w:val="21"/>
        </w:rPr>
        <w:t>在合同约定的期限内，承包人和监理人无法对当期已完工程量和按合同约定应当支付的其他款项达成一致的，监理人应当在收到承包人报送的进度付款申请单等文件后</w:t>
      </w:r>
      <w:r>
        <w:rPr>
          <w:rFonts w:ascii="宋体" w:hAnsi="宋体"/>
          <w:szCs w:val="21"/>
        </w:rPr>
        <w:t>14</w:t>
      </w:r>
      <w:r>
        <w:rPr>
          <w:rFonts w:hint="eastAsia" w:ascii="宋体" w:hAnsi="宋体"/>
          <w:szCs w:val="21"/>
        </w:rPr>
        <w:t>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w:t>
      </w:r>
      <w:r>
        <w:rPr>
          <w:rFonts w:ascii="宋体" w:hAnsi="宋体"/>
          <w:szCs w:val="21"/>
        </w:rPr>
        <w:t>28</w:t>
      </w:r>
      <w:r>
        <w:rPr>
          <w:rFonts w:hint="eastAsia" w:ascii="宋体" w:hAnsi="宋体"/>
          <w:szCs w:val="21"/>
        </w:rPr>
        <w:t>天内，将临时付款证书中确定的应付金额支付给承包人。发包人和监理人均不得以任何理由延期支付工程进度付款。</w:t>
      </w:r>
    </w:p>
    <w:p>
      <w:pPr>
        <w:spacing w:line="360" w:lineRule="auto"/>
        <w:ind w:firstLine="420" w:firstLineChars="200"/>
        <w:rPr>
          <w:rFonts w:ascii="宋体"/>
          <w:szCs w:val="21"/>
        </w:rPr>
      </w:pPr>
      <w:r>
        <w:rPr>
          <w:rFonts w:hint="eastAsia" w:ascii="宋体" w:hAnsi="宋体"/>
          <w:szCs w:val="21"/>
        </w:rPr>
        <w:t>对临时付款证书中承包人有异议部分的金额，承包人应当按照监理人要求，提交进一步的支持性文件，经监理人进一步审核并认可的应付金额，应当按第</w:t>
      </w:r>
      <w:r>
        <w:rPr>
          <w:rFonts w:ascii="宋体" w:hAnsi="宋体"/>
          <w:szCs w:val="21"/>
        </w:rPr>
        <w:t>17.3.4</w:t>
      </w:r>
      <w:r>
        <w:rPr>
          <w:rFonts w:hint="eastAsia" w:ascii="宋体" w:hAnsi="宋体"/>
          <w:szCs w:val="21"/>
        </w:rPr>
        <w:t>项的约定纳入到下一期进度付款证书中。经过进一步努力，承包人仍有异议的，按合同条款第</w:t>
      </w:r>
      <w:r>
        <w:rPr>
          <w:rFonts w:ascii="宋体" w:hAnsi="宋体"/>
          <w:szCs w:val="21"/>
        </w:rPr>
        <w:t>24</w:t>
      </w:r>
      <w:r>
        <w:rPr>
          <w:rFonts w:hint="eastAsia" w:ascii="宋体" w:hAnsi="宋体"/>
          <w:szCs w:val="21"/>
        </w:rPr>
        <w:t>条的约定办理。</w:t>
      </w:r>
    </w:p>
    <w:p>
      <w:pPr>
        <w:spacing w:line="360" w:lineRule="auto"/>
        <w:ind w:firstLine="420" w:firstLineChars="200"/>
        <w:rPr>
          <w:rFonts w:ascii="宋体"/>
        </w:rPr>
      </w:pPr>
      <w:r>
        <w:rPr>
          <w:rFonts w:hint="eastAsia" w:ascii="宋体" w:hAnsi="宋体"/>
          <w:szCs w:val="21"/>
        </w:rPr>
        <w:t>有异议款项中经监理人进一步审核后认可的，或者经过合同条款第</w:t>
      </w:r>
      <w:r>
        <w:rPr>
          <w:rFonts w:ascii="宋体" w:hAnsi="宋体"/>
          <w:szCs w:val="21"/>
        </w:rPr>
        <w:t>24</w:t>
      </w:r>
      <w:r>
        <w:rPr>
          <w:rFonts w:hint="eastAsia" w:ascii="宋体" w:hAnsi="宋体"/>
          <w:szCs w:val="21"/>
        </w:rPr>
        <w:t>条约定的争议解决方式确定的应付金额，其应付之日为引发异议的进度付款证书的应付之日，承包人有权得到按第</w:t>
      </w:r>
      <w:r>
        <w:rPr>
          <w:rFonts w:ascii="宋体" w:hAnsi="宋体"/>
          <w:szCs w:val="21"/>
        </w:rPr>
        <w:t>17.3.3</w:t>
      </w:r>
      <w:r>
        <w:rPr>
          <w:rFonts w:hint="eastAsia" w:ascii="宋体" w:hAnsi="宋体"/>
          <w:szCs w:val="21"/>
        </w:rPr>
        <w:t>（</w:t>
      </w:r>
      <w:r>
        <w:rPr>
          <w:rFonts w:ascii="宋体" w:hAnsi="宋体"/>
          <w:szCs w:val="21"/>
        </w:rPr>
        <w:t>2</w:t>
      </w:r>
      <w:r>
        <w:rPr>
          <w:rFonts w:hint="eastAsia" w:ascii="宋体" w:hAnsi="宋体"/>
          <w:szCs w:val="21"/>
        </w:rPr>
        <w:t>）目约定计算的逾期付款违约金。</w:t>
      </w:r>
    </w:p>
    <w:p>
      <w:pPr>
        <w:pStyle w:val="155"/>
        <w:spacing w:before="120" w:after="120"/>
      </w:pPr>
      <w:bookmarkStart w:id="2761" w:name="_Toc489279971"/>
      <w:bookmarkStart w:id="2762" w:name="_Toc486580160"/>
      <w:bookmarkStart w:id="2763" w:name="_Toc490222605"/>
      <w:bookmarkStart w:id="2764" w:name="_Toc342296373"/>
      <w:bookmarkStart w:id="2765" w:name="_Toc338944815"/>
      <w:bookmarkStart w:id="2766" w:name="_Toc483668189"/>
      <w:bookmarkStart w:id="2767" w:name="_Toc480487015"/>
      <w:bookmarkStart w:id="2768" w:name="_Toc480486843"/>
      <w:bookmarkStart w:id="2769" w:name="_Toc117350529"/>
      <w:r>
        <w:t xml:space="preserve">17.4  </w:t>
      </w:r>
      <w:r>
        <w:rPr>
          <w:rFonts w:hint="eastAsia"/>
        </w:rPr>
        <w:t>质量保证金</w:t>
      </w:r>
      <w:bookmarkEnd w:id="2761"/>
      <w:bookmarkEnd w:id="2762"/>
      <w:bookmarkEnd w:id="2763"/>
      <w:bookmarkEnd w:id="2764"/>
      <w:bookmarkEnd w:id="2765"/>
      <w:bookmarkEnd w:id="2766"/>
      <w:bookmarkEnd w:id="2767"/>
      <w:bookmarkEnd w:id="2768"/>
      <w:bookmarkEnd w:id="2769"/>
    </w:p>
    <w:p>
      <w:pPr>
        <w:spacing w:line="360" w:lineRule="auto"/>
        <w:ind w:firstLine="420" w:firstLineChars="200"/>
        <w:rPr>
          <w:rFonts w:ascii="宋体"/>
        </w:rPr>
      </w:pPr>
      <w:bookmarkStart w:id="2770" w:name="_Toc490222606"/>
      <w:bookmarkStart w:id="2771" w:name="_Toc338944816"/>
      <w:bookmarkStart w:id="2772" w:name="_Toc486580161"/>
      <w:bookmarkStart w:id="2773" w:name="_Toc480486844"/>
      <w:bookmarkStart w:id="2774" w:name="_Toc342296374"/>
      <w:bookmarkStart w:id="2775" w:name="_Toc483668190"/>
      <w:bookmarkStart w:id="2776" w:name="_Toc480487016"/>
      <w:bookmarkStart w:id="2777" w:name="_Toc489279972"/>
      <w:r>
        <w:rPr>
          <w:rFonts w:ascii="宋体" w:hAnsi="宋体"/>
          <w:szCs w:val="21"/>
        </w:rPr>
        <w:t xml:space="preserve">17.4.1  </w:t>
      </w:r>
      <w:r>
        <w:rPr>
          <w:rFonts w:hint="eastAsia" w:ascii="宋体" w:hAnsi="宋体"/>
        </w:rPr>
        <w:t>质量保证金处理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）合同条款专用部分第</w:t>
      </w:r>
      <w:r>
        <w:rPr>
          <w:rFonts w:ascii="宋体" w:hAnsi="宋体"/>
          <w:szCs w:val="21"/>
        </w:rPr>
        <w:t>4.2.1</w:t>
      </w:r>
      <w:r>
        <w:rPr>
          <w:rFonts w:hint="eastAsia" w:ascii="宋体" w:hAnsi="宋体"/>
          <w:szCs w:val="21"/>
        </w:rPr>
        <w:t>项约定不提交履约担保，采用扣留质量保证金的，质量保证金由监理人从第一个付款周期开始按进度付款证书确认的已实施工程的价款、根据合同条款第</w:t>
      </w:r>
      <w:r>
        <w:rPr>
          <w:rFonts w:ascii="宋体" w:hAnsi="宋体"/>
          <w:szCs w:val="21"/>
        </w:rPr>
        <w:t>15</w:t>
      </w:r>
      <w:r>
        <w:rPr>
          <w:rFonts w:hint="eastAsia" w:ascii="宋体" w:hAnsi="宋体"/>
          <w:szCs w:val="21"/>
        </w:rPr>
        <w:t>条增加和扣减的变更金额、根据合同条款第</w:t>
      </w:r>
      <w:r>
        <w:rPr>
          <w:rFonts w:ascii="宋体" w:hAnsi="宋体"/>
          <w:szCs w:val="21"/>
        </w:rPr>
        <w:t>23</w:t>
      </w:r>
      <w:r>
        <w:rPr>
          <w:rFonts w:hint="eastAsia" w:ascii="宋体" w:hAnsi="宋体"/>
          <w:szCs w:val="21"/>
        </w:rPr>
        <w:t>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w:t>
      </w:r>
      <w:r>
        <w:rPr>
          <w:rFonts w:hint="eastAsia" w:ascii="宋体" w:hAnsi="宋体" w:cs="Arial"/>
          <w:szCs w:val="21"/>
        </w:rPr>
        <w:t>竣工结算</w:t>
      </w:r>
      <w:r>
        <w:rPr>
          <w:rFonts w:hint="eastAsia" w:ascii="宋体" w:hAnsi="宋体"/>
          <w:szCs w:val="21"/>
        </w:rPr>
        <w:t>合同总价的约定比例为止；</w:t>
      </w:r>
    </w:p>
    <w:p>
      <w:pPr>
        <w:spacing w:line="360" w:lineRule="auto"/>
        <w:ind w:firstLine="420" w:firstLineChars="200"/>
        <w:rPr>
          <w:rFonts w:ascii="宋体"/>
          <w:szCs w:val="21"/>
        </w:rPr>
      </w:pPr>
      <w:r>
        <w:rPr>
          <w:rFonts w:hint="eastAsia" w:ascii="宋体" w:hAnsi="宋体"/>
          <w:szCs w:val="21"/>
        </w:rPr>
        <w:t>采用质量保证金保函担保形式的，工程竣工前，不得扣留质量保证金。</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）合同条款专用部分第</w:t>
      </w:r>
      <w:r>
        <w:rPr>
          <w:rFonts w:ascii="宋体" w:hAnsi="宋体"/>
          <w:szCs w:val="21"/>
        </w:rPr>
        <w:t>4.2.1</w:t>
      </w:r>
      <w:r>
        <w:rPr>
          <w:rFonts w:hint="eastAsia" w:ascii="宋体" w:hAnsi="宋体"/>
          <w:szCs w:val="21"/>
        </w:rPr>
        <w:t>项约定提交履约担保，采用扣留质量保证金的，在第</w:t>
      </w:r>
      <w:r>
        <w:rPr>
          <w:rFonts w:ascii="宋体" w:hAnsi="宋体"/>
          <w:szCs w:val="21"/>
        </w:rPr>
        <w:t>17.5</w:t>
      </w:r>
      <w:r>
        <w:rPr>
          <w:rFonts w:hint="eastAsia" w:ascii="宋体" w:hAnsi="宋体"/>
          <w:szCs w:val="21"/>
        </w:rPr>
        <w:t>款竣工结算中，应当按照</w:t>
      </w:r>
      <w:r>
        <w:rPr>
          <w:rFonts w:hint="eastAsia" w:ascii="宋体" w:hAnsi="宋体" w:cs="Arial"/>
          <w:szCs w:val="21"/>
        </w:rPr>
        <w:t>竣工结算</w:t>
      </w:r>
      <w:r>
        <w:rPr>
          <w:rFonts w:hint="eastAsia" w:ascii="宋体" w:hAnsi="宋体"/>
          <w:szCs w:val="21"/>
        </w:rPr>
        <w:t>合同总价约定的比例扣留质量保证金</w:t>
      </w:r>
      <w:r>
        <w:rPr>
          <w:rFonts w:hint="eastAsia" w:ascii="宋体" w:hAnsi="宋体"/>
        </w:rPr>
        <w:t>；</w:t>
      </w:r>
      <w:r>
        <w:rPr>
          <w:rFonts w:hint="eastAsia" w:ascii="宋体" w:hAnsi="宋体"/>
          <w:szCs w:val="21"/>
        </w:rPr>
        <w:t>采用质量保证金保函担保形式的，工程竣工前，不得扣留质量保证金。</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）质量保证金的形式与约定比例</w:t>
      </w:r>
      <w:r>
        <w:rPr>
          <w:rFonts w:hint="eastAsia" w:ascii="黑体" w:hAnsi="黑体" w:eastAsia="黑体"/>
          <w:szCs w:val="21"/>
        </w:rPr>
        <w:t>见合同条款专用部分。</w:t>
      </w:r>
    </w:p>
    <w:p>
      <w:pPr>
        <w:spacing w:line="360" w:lineRule="auto"/>
        <w:ind w:firstLine="420" w:firstLineChars="200"/>
        <w:rPr>
          <w:rFonts w:ascii="宋体"/>
        </w:rPr>
      </w:pPr>
      <w:r>
        <w:rPr>
          <w:rFonts w:ascii="宋体" w:hAnsi="宋体"/>
        </w:rPr>
        <w:t xml:space="preserve">17.4.2  </w:t>
      </w:r>
      <w:r>
        <w:rPr>
          <w:rFonts w:hint="eastAsia" w:ascii="宋体" w:hAnsi="宋体"/>
        </w:rPr>
        <w:t>在第</w:t>
      </w:r>
      <w:r>
        <w:rPr>
          <w:rFonts w:ascii="宋体" w:hAnsi="宋体"/>
        </w:rPr>
        <w:t>1.1.4.5</w:t>
      </w:r>
      <w:r>
        <w:rPr>
          <w:rFonts w:hint="eastAsia" w:ascii="宋体" w:hAnsi="宋体"/>
        </w:rPr>
        <w:t>目约定的缺陷责任期满时，承包人向发包人申请到期应返还承包人剩余的质量保证金金额或退还保函担保，发包人应在</w:t>
      </w:r>
      <w:r>
        <w:rPr>
          <w:rFonts w:ascii="宋体" w:hAnsi="宋体"/>
        </w:rPr>
        <w:t>14</w:t>
      </w:r>
      <w:r>
        <w:rPr>
          <w:rFonts w:hint="eastAsia" w:ascii="宋体" w:hAnsi="宋体"/>
        </w:rPr>
        <w:t>天内会同承包人按照合同约定的内容核实承包人是否完成缺陷责任。如无异议，发包人应当在核实后将剩余保证金返还承包人或将其保函退还承包人。</w:t>
      </w:r>
    </w:p>
    <w:p>
      <w:pPr>
        <w:spacing w:line="360" w:lineRule="auto"/>
        <w:ind w:firstLine="420" w:firstLineChars="200"/>
        <w:rPr>
          <w:rFonts w:ascii="宋体"/>
        </w:rPr>
      </w:pPr>
      <w:r>
        <w:rPr>
          <w:rFonts w:ascii="宋体" w:hAnsi="宋体"/>
        </w:rPr>
        <w:t xml:space="preserve">17.4.3  </w:t>
      </w:r>
      <w:r>
        <w:rPr>
          <w:rFonts w:hint="eastAsia" w:ascii="宋体" w:hAnsi="宋体"/>
        </w:rPr>
        <w:t>在第</w:t>
      </w:r>
      <w:r>
        <w:rPr>
          <w:rFonts w:ascii="宋体" w:hAnsi="宋体"/>
        </w:rPr>
        <w:t>1.1.4.5</w:t>
      </w:r>
      <w:r>
        <w:rPr>
          <w:rFonts w:hint="eastAsia" w:ascii="宋体" w:hAnsi="宋体"/>
        </w:rPr>
        <w:t>目约定的缺陷责任期满时，承包人没有完成缺陷责任的，发包人有权扣留与未履行责任剩余工作所需金额相应的质量保证金余额或依据其保函担保约定追究责任，并有权根据第</w:t>
      </w:r>
      <w:r>
        <w:rPr>
          <w:rFonts w:ascii="宋体" w:hAnsi="宋体"/>
        </w:rPr>
        <w:t>19.3</w:t>
      </w:r>
      <w:r>
        <w:rPr>
          <w:rFonts w:hint="eastAsia" w:ascii="宋体" w:hAnsi="宋体"/>
        </w:rPr>
        <w:t>款约定要求延长缺陷责任期，直至完成剩余工作为止。</w:t>
      </w:r>
    </w:p>
    <w:p>
      <w:pPr>
        <w:pStyle w:val="155"/>
        <w:spacing w:before="120" w:after="120"/>
      </w:pPr>
      <w:bookmarkStart w:id="2778" w:name="_Toc117350530"/>
      <w:r>
        <w:t xml:space="preserve">17.5  </w:t>
      </w:r>
      <w:r>
        <w:rPr>
          <w:rFonts w:hint="eastAsia"/>
        </w:rPr>
        <w:t>竣工结算</w:t>
      </w:r>
      <w:bookmarkEnd w:id="2770"/>
      <w:bookmarkEnd w:id="2771"/>
      <w:bookmarkEnd w:id="2772"/>
      <w:bookmarkEnd w:id="2773"/>
      <w:bookmarkEnd w:id="2774"/>
      <w:bookmarkEnd w:id="2775"/>
      <w:bookmarkEnd w:id="2776"/>
      <w:bookmarkEnd w:id="2777"/>
      <w:bookmarkEnd w:id="2778"/>
    </w:p>
    <w:p>
      <w:pPr>
        <w:spacing w:line="360" w:lineRule="auto"/>
        <w:ind w:firstLine="420" w:firstLineChars="200"/>
        <w:rPr>
          <w:rFonts w:ascii="宋体" w:hAnsi="宋体"/>
        </w:rPr>
      </w:pPr>
      <w:bookmarkStart w:id="2779" w:name="_Hlk114650119"/>
      <w:r>
        <w:rPr>
          <w:rFonts w:ascii="宋体" w:hAnsi="宋体"/>
        </w:rPr>
        <w:t xml:space="preserve">17.5.1  </w:t>
      </w:r>
      <w:r>
        <w:rPr>
          <w:rFonts w:hint="eastAsia" w:ascii="宋体" w:hAnsi="宋体"/>
        </w:rPr>
        <w:t>过程结算</w:t>
      </w:r>
    </w:p>
    <w:p>
      <w:pPr>
        <w:spacing w:line="360" w:lineRule="auto"/>
        <w:ind w:firstLine="420" w:firstLineChars="200"/>
        <w:rPr>
          <w:rFonts w:ascii="宋体"/>
        </w:rPr>
      </w:pPr>
      <w:bookmarkStart w:id="2780" w:name="_Hlk111558437"/>
      <w:r>
        <w:rPr>
          <w:rFonts w:hint="eastAsia" w:ascii="宋体" w:hAnsi="宋体"/>
        </w:rPr>
        <w:t>本工程是否进行过程结算及相关要求</w:t>
      </w:r>
      <w:bookmarkEnd w:id="2780"/>
      <w:r>
        <w:rPr>
          <w:rFonts w:hint="eastAsia" w:ascii="黑体" w:hAnsi="黑体" w:eastAsia="黑体"/>
        </w:rPr>
        <w:t>见合同条款专用部分</w:t>
      </w:r>
      <w:r>
        <w:rPr>
          <w:rFonts w:hint="eastAsia" w:ascii="宋体" w:hAnsi="宋体"/>
        </w:rPr>
        <w:t>。</w:t>
      </w:r>
    </w:p>
    <w:bookmarkEnd w:id="2779"/>
    <w:p>
      <w:pPr>
        <w:spacing w:line="360" w:lineRule="auto"/>
        <w:ind w:firstLine="420" w:firstLineChars="200"/>
        <w:rPr>
          <w:rFonts w:ascii="宋体"/>
        </w:rPr>
      </w:pPr>
      <w:r>
        <w:rPr>
          <w:rFonts w:ascii="宋体" w:hAnsi="宋体"/>
        </w:rPr>
        <w:t xml:space="preserve">17.5.2  </w:t>
      </w:r>
      <w:r>
        <w:rPr>
          <w:rFonts w:hint="eastAsia" w:ascii="宋体" w:hAnsi="宋体"/>
        </w:rPr>
        <w:t>竣工付款申请单</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）工程接收证书颁发后，承包人应按合同约定的份数和期限向监理人提交竣工付款申请单，并提供相关证明材料。承包人提交竣工付款申请单份数和期限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）竣工付款申请单应包括下列内容：竣工结算合同总价、发包人已支付承包人的工程价款、应扣留的质量保证金、应支付的竣工付款金额和应支付或扣减的其他内容金额。竣工付款申请单的其他内容</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）监理人对竣工付款申请单有异议的，有权要求承包人进行修正和提供补充资料。经监理人和承包人协商后，由承包人向监理人提交修正后的竣工付款申请单。</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）承包人未按本项约定的期限和内容提交竣工付款申请单或者未按第</w:t>
      </w:r>
      <w:r>
        <w:rPr>
          <w:rFonts w:ascii="宋体" w:hAnsi="宋体"/>
          <w:szCs w:val="21"/>
        </w:rPr>
        <w:t>17.5.2</w:t>
      </w:r>
      <w:r>
        <w:rPr>
          <w:rFonts w:hint="eastAsia" w:ascii="宋体" w:hAnsi="宋体"/>
          <w:szCs w:val="21"/>
        </w:rPr>
        <w:t>（</w:t>
      </w:r>
      <w:r>
        <w:rPr>
          <w:rFonts w:ascii="宋体" w:hAnsi="宋体"/>
          <w:szCs w:val="21"/>
        </w:rPr>
        <w:t>3)</w:t>
      </w:r>
      <w:r>
        <w:rPr>
          <w:rFonts w:hint="eastAsia" w:ascii="宋体" w:hAnsi="宋体"/>
          <w:szCs w:val="21"/>
        </w:rPr>
        <w:t>目约定提交修正后的竣工付款申请单，经监理人催促后</w:t>
      </w:r>
      <w:r>
        <w:rPr>
          <w:rFonts w:ascii="宋体" w:hAnsi="宋体"/>
          <w:szCs w:val="21"/>
        </w:rPr>
        <w:t>14</w:t>
      </w:r>
      <w:r>
        <w:rPr>
          <w:rFonts w:hint="eastAsia" w:ascii="宋体" w:hAnsi="宋体"/>
          <w:szCs w:val="21"/>
        </w:rPr>
        <w:t>天内仍未提交或者没有明确答复的，监理人和发包人有权根据已有资料进行审查，审查确定的竣工结算合同总价和竣工付款金额视同是经承包人认可的工程竣工结算合同总价和竣工付款金额。</w:t>
      </w:r>
    </w:p>
    <w:p>
      <w:pPr>
        <w:spacing w:line="360" w:lineRule="auto"/>
        <w:ind w:firstLine="420" w:firstLineChars="200"/>
        <w:rPr>
          <w:rFonts w:ascii="宋体"/>
        </w:rPr>
      </w:pPr>
      <w:r>
        <w:rPr>
          <w:rFonts w:ascii="宋体" w:hAnsi="宋体"/>
        </w:rPr>
        <w:t xml:space="preserve">17.5.3  </w:t>
      </w:r>
      <w:r>
        <w:rPr>
          <w:rFonts w:hint="eastAsia" w:ascii="宋体" w:hAnsi="宋体"/>
        </w:rPr>
        <w:t>竣工付款证书及支付时间</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）监理人在收到承包人提交的竣工付款申请单后的</w:t>
      </w:r>
      <w:r>
        <w:rPr>
          <w:rFonts w:ascii="宋体" w:hAnsi="宋体"/>
          <w:szCs w:val="21"/>
        </w:rPr>
        <w:t>14</w:t>
      </w:r>
      <w:r>
        <w:rPr>
          <w:rFonts w:hint="eastAsia" w:ascii="宋体" w:hAnsi="宋体"/>
          <w:szCs w:val="21"/>
        </w:rPr>
        <w:t>天内完成审核，并提出发包人到期应支付给承包人的价款等审核意见，报送发包人审核。发包人应在收到后</w:t>
      </w:r>
      <w:r>
        <w:rPr>
          <w:rFonts w:ascii="宋体" w:hAnsi="宋体"/>
          <w:szCs w:val="21"/>
        </w:rPr>
        <w:t>14</w:t>
      </w:r>
      <w:r>
        <w:rPr>
          <w:rFonts w:hint="eastAsia" w:ascii="宋体" w:hAnsi="宋体"/>
          <w:szCs w:val="21"/>
        </w:rPr>
        <w:t>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）发包人应在监理人出具竣工付款证书后的</w:t>
      </w:r>
      <w:r>
        <w:rPr>
          <w:rFonts w:ascii="宋体" w:hAnsi="宋体"/>
          <w:szCs w:val="21"/>
        </w:rPr>
        <w:t>14</w:t>
      </w:r>
      <w:r>
        <w:rPr>
          <w:rFonts w:hint="eastAsia" w:ascii="宋体" w:hAnsi="宋体"/>
          <w:szCs w:val="21"/>
        </w:rPr>
        <w:t>天内，将应支付款支付给承包人。发包人不按期支付的，按第</w:t>
      </w:r>
      <w:r>
        <w:rPr>
          <w:rFonts w:ascii="宋体" w:hAnsi="宋体"/>
          <w:szCs w:val="21"/>
        </w:rPr>
        <w:t>17.3.3</w:t>
      </w:r>
      <w:r>
        <w:rPr>
          <w:rFonts w:hint="eastAsia" w:ascii="宋体" w:hAnsi="宋体"/>
          <w:szCs w:val="21"/>
        </w:rPr>
        <w:t>（</w:t>
      </w:r>
      <w:r>
        <w:rPr>
          <w:rFonts w:ascii="宋体" w:hAnsi="宋体"/>
          <w:szCs w:val="21"/>
        </w:rPr>
        <w:t>2</w:t>
      </w:r>
      <w:r>
        <w:rPr>
          <w:rFonts w:hint="eastAsia" w:ascii="宋体" w:hAnsi="宋体"/>
          <w:szCs w:val="21"/>
        </w:rPr>
        <w:t>）目的约定，将逾期付款违约金支付给承包人。</w:t>
      </w:r>
    </w:p>
    <w:p>
      <w:pPr>
        <w:spacing w:line="360" w:lineRule="auto"/>
        <w:ind w:firstLine="420" w:firstLineChars="200"/>
        <w:rPr>
          <w:rFonts w:ascii="宋体" w:hAnsi="宋体"/>
          <w:szCs w:val="21"/>
        </w:rPr>
      </w:pPr>
      <w:bookmarkStart w:id="2781" w:name="_Hlk114650160"/>
      <w:r>
        <w:rPr>
          <w:rFonts w:hint="eastAsia" w:ascii="宋体" w:hAnsi="宋体"/>
          <w:szCs w:val="21"/>
        </w:rPr>
        <w:t>（</w:t>
      </w:r>
      <w:r>
        <w:rPr>
          <w:rFonts w:ascii="宋体" w:hAnsi="宋体"/>
          <w:szCs w:val="21"/>
        </w:rPr>
        <w:t>3</w:t>
      </w:r>
      <w:r>
        <w:rPr>
          <w:rFonts w:hint="eastAsia" w:ascii="宋体" w:hAnsi="宋体"/>
          <w:szCs w:val="21"/>
        </w:rPr>
        <w:t>）如竣工付款证书中显示进度款支付超出实际已完成工程价款的情况，承包人应在监理人出具竣工付款证书后</w:t>
      </w:r>
      <w:r>
        <w:rPr>
          <w:rFonts w:ascii="宋体" w:hAnsi="宋体"/>
          <w:szCs w:val="21"/>
        </w:rPr>
        <w:t>30日内向发包</w:t>
      </w:r>
      <w:r>
        <w:rPr>
          <w:rFonts w:hint="eastAsia" w:ascii="宋体" w:hAnsi="宋体"/>
          <w:szCs w:val="21"/>
        </w:rPr>
        <w:t>人返还多收到的工程进度款。</w:t>
      </w:r>
    </w:p>
    <w:bookmarkEnd w:id="2781"/>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）承包人对发包人签认的竣工付款证书有异议的，发包人可出具竣工付款申请单中与承包人达成一致意见部分的临时付款证书。存在争议的部分，按第</w:t>
      </w:r>
      <w:r>
        <w:rPr>
          <w:rFonts w:ascii="宋体" w:hAnsi="宋体"/>
          <w:szCs w:val="21"/>
        </w:rPr>
        <w:t>24</w:t>
      </w:r>
      <w:r>
        <w:rPr>
          <w:rFonts w:hint="eastAsia" w:ascii="宋体" w:hAnsi="宋体"/>
          <w:szCs w:val="21"/>
        </w:rPr>
        <w:t>条“争议的解决”的约定办理。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）竣工付款涉及政府投资资金的，按第</w:t>
      </w:r>
      <w:r>
        <w:rPr>
          <w:rFonts w:ascii="宋体" w:hAnsi="宋体"/>
          <w:szCs w:val="21"/>
        </w:rPr>
        <w:t>17.3.3</w:t>
      </w:r>
      <w:r>
        <w:rPr>
          <w:rFonts w:hint="eastAsia" w:ascii="宋体" w:hAnsi="宋体"/>
          <w:szCs w:val="21"/>
        </w:rPr>
        <w:t>（</w:t>
      </w:r>
      <w:r>
        <w:rPr>
          <w:rFonts w:ascii="宋体" w:hAnsi="宋体"/>
          <w:szCs w:val="21"/>
        </w:rPr>
        <w:t>4</w:t>
      </w:r>
      <w:r>
        <w:rPr>
          <w:rFonts w:hint="eastAsia" w:ascii="宋体" w:hAnsi="宋体"/>
          <w:szCs w:val="21"/>
        </w:rPr>
        <w:t>）目的约定办理。</w:t>
      </w:r>
    </w:p>
    <w:p>
      <w:pPr>
        <w:spacing w:line="360" w:lineRule="auto"/>
        <w:ind w:firstLine="420" w:firstLineChars="200"/>
        <w:rPr>
          <w:rFonts w:ascii="宋体"/>
          <w:szCs w:val="21"/>
        </w:rPr>
      </w:pPr>
      <w:r>
        <w:rPr>
          <w:rFonts w:ascii="宋体" w:hAnsi="宋体"/>
        </w:rPr>
        <w:t>17.5</w:t>
      </w:r>
      <w:r>
        <w:rPr>
          <w:rFonts w:ascii="宋体"/>
        </w:rPr>
        <w:t>.</w:t>
      </w:r>
      <w:r>
        <w:rPr>
          <w:rFonts w:ascii="宋体" w:hAnsi="宋体"/>
        </w:rPr>
        <w:t xml:space="preserve">4  </w:t>
      </w:r>
      <w:r>
        <w:rPr>
          <w:rFonts w:hint="eastAsia" w:ascii="宋体" w:hAnsi="宋体"/>
          <w:szCs w:val="21"/>
        </w:rPr>
        <w:t>除第</w:t>
      </w:r>
      <w:r>
        <w:rPr>
          <w:rFonts w:ascii="宋体" w:hAnsi="宋体"/>
          <w:szCs w:val="21"/>
        </w:rPr>
        <w:t>17.5</w:t>
      </w:r>
      <w:r>
        <w:rPr>
          <w:rFonts w:ascii="宋体"/>
          <w:szCs w:val="21"/>
        </w:rPr>
        <w:t>.</w:t>
      </w:r>
      <w:r>
        <w:rPr>
          <w:rFonts w:ascii="宋体" w:hAnsi="宋体"/>
          <w:szCs w:val="21"/>
        </w:rPr>
        <w:t>5</w:t>
      </w:r>
      <w:r>
        <w:rPr>
          <w:rFonts w:hint="eastAsia" w:ascii="宋体" w:hAnsi="宋体"/>
          <w:szCs w:val="21"/>
        </w:rPr>
        <w:t>项约定的情况外，发包人和承包人应当在监理人颁发（出具）工程接收证书后</w:t>
      </w:r>
      <w:r>
        <w:rPr>
          <w:rFonts w:ascii="宋体" w:hAnsi="宋体"/>
          <w:szCs w:val="21"/>
        </w:rPr>
        <w:t>56</w:t>
      </w:r>
      <w:r>
        <w:rPr>
          <w:rFonts w:hint="eastAsia" w:ascii="宋体" w:hAnsi="宋体"/>
          <w:szCs w:val="21"/>
        </w:rPr>
        <w:t>天内办清竣工结算和竣工付款。</w:t>
      </w:r>
    </w:p>
    <w:p>
      <w:pPr>
        <w:spacing w:line="360" w:lineRule="auto"/>
        <w:ind w:firstLine="420" w:firstLineChars="200"/>
        <w:rPr>
          <w:rFonts w:ascii="宋体"/>
          <w:szCs w:val="21"/>
        </w:rPr>
      </w:pPr>
      <w:r>
        <w:rPr>
          <w:rFonts w:ascii="宋体" w:hAnsi="宋体"/>
        </w:rPr>
        <w:t>17.5</w:t>
      </w:r>
      <w:r>
        <w:rPr>
          <w:rFonts w:ascii="宋体"/>
        </w:rPr>
        <w:t>.</w:t>
      </w:r>
      <w:r>
        <w:rPr>
          <w:rFonts w:ascii="宋体" w:hAnsi="宋体"/>
        </w:rPr>
        <w:t xml:space="preserve">5  </w:t>
      </w:r>
      <w:r>
        <w:rPr>
          <w:rFonts w:hint="eastAsia" w:ascii="宋体" w:hAnsi="宋体"/>
          <w:szCs w:val="21"/>
        </w:rPr>
        <w:t>政府投资或者以政府投资为主的建设项目纳入审计项目计划的，发包人和承包人均负有配合、接受审计机关审计的义务，竣工结算应当依据审计结论，办清竣工结算和竣工付款的时间按照相关规定执行。</w:t>
      </w:r>
    </w:p>
    <w:p>
      <w:pPr>
        <w:pStyle w:val="155"/>
        <w:spacing w:before="120" w:after="120"/>
      </w:pPr>
      <w:bookmarkStart w:id="2782" w:name="_Toc480486845"/>
      <w:bookmarkStart w:id="2783" w:name="_Toc480487017"/>
      <w:bookmarkStart w:id="2784" w:name="_Toc490222607"/>
      <w:bookmarkStart w:id="2785" w:name="_Toc338944817"/>
      <w:bookmarkStart w:id="2786" w:name="_Toc342296375"/>
      <w:bookmarkStart w:id="2787" w:name="_Toc483668191"/>
      <w:bookmarkStart w:id="2788" w:name="_Toc489279973"/>
      <w:bookmarkStart w:id="2789" w:name="_Toc486580162"/>
      <w:bookmarkStart w:id="2790" w:name="_Toc117350531"/>
      <w:r>
        <w:t xml:space="preserve">17.6  </w:t>
      </w:r>
      <w:r>
        <w:rPr>
          <w:rFonts w:hint="eastAsia"/>
        </w:rPr>
        <w:t>最终结清</w:t>
      </w:r>
      <w:bookmarkEnd w:id="2782"/>
      <w:bookmarkEnd w:id="2783"/>
      <w:bookmarkEnd w:id="2784"/>
      <w:bookmarkEnd w:id="2785"/>
      <w:bookmarkEnd w:id="2786"/>
      <w:bookmarkEnd w:id="2787"/>
      <w:bookmarkEnd w:id="2788"/>
      <w:bookmarkEnd w:id="2789"/>
      <w:bookmarkEnd w:id="2790"/>
    </w:p>
    <w:p>
      <w:pPr>
        <w:spacing w:line="360" w:lineRule="auto"/>
        <w:ind w:firstLine="420" w:firstLineChars="200"/>
        <w:rPr>
          <w:rFonts w:ascii="宋体"/>
        </w:rPr>
      </w:pPr>
      <w:r>
        <w:rPr>
          <w:rFonts w:ascii="宋体" w:hAnsi="宋体"/>
        </w:rPr>
        <w:t xml:space="preserve">17.6.1  </w:t>
      </w:r>
      <w:r>
        <w:rPr>
          <w:rFonts w:hint="eastAsia" w:ascii="宋体" w:hAnsi="宋体"/>
        </w:rPr>
        <w:t>最终结清申请单</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）缺陷责任期终止证书签发后，承包人可按合同约定的份数和期限向监理人提交最终结清申请单，并提供相关证明材料。承包人提交最终结清申请单的份数和期限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发包人向承包人支付质量保证金利息的，承包人应按照约定的利息计算方法计算利息，并列入最终结清申请单中。是否支付质量保证金利息及利息计算方法</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）发包人对最终结清申请单内容有异议的，有权要求承包人进行修正和提供补充资料，由承包人向监理人提交修正后的最终结清申请单。</w:t>
      </w:r>
    </w:p>
    <w:p>
      <w:pPr>
        <w:spacing w:line="360" w:lineRule="auto"/>
        <w:ind w:firstLine="420" w:firstLineChars="200"/>
        <w:rPr>
          <w:rFonts w:ascii="宋体"/>
        </w:rPr>
      </w:pPr>
      <w:r>
        <w:rPr>
          <w:rFonts w:ascii="宋体" w:hAnsi="宋体"/>
        </w:rPr>
        <w:t xml:space="preserve">17.6.2  </w:t>
      </w:r>
      <w:r>
        <w:rPr>
          <w:rFonts w:hint="eastAsia" w:ascii="宋体" w:hAnsi="宋体"/>
        </w:rPr>
        <w:t>最终结清证书和支付时间</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）监理人收到承包人提交的最终结清申请单后的</w:t>
      </w:r>
      <w:r>
        <w:rPr>
          <w:rFonts w:ascii="宋体" w:hAnsi="宋体"/>
          <w:szCs w:val="21"/>
        </w:rPr>
        <w:t>14</w:t>
      </w:r>
      <w:r>
        <w:rPr>
          <w:rFonts w:hint="eastAsia" w:ascii="宋体" w:hAnsi="宋体"/>
          <w:szCs w:val="21"/>
        </w:rPr>
        <w:t>天内，提出发包人应支付给承包人的价款等审核意见，并报送发包人审核。发包人应在收到后</w:t>
      </w:r>
      <w:r>
        <w:rPr>
          <w:rFonts w:ascii="宋体" w:hAnsi="宋体"/>
          <w:szCs w:val="21"/>
        </w:rPr>
        <w:t>14</w:t>
      </w:r>
      <w:r>
        <w:rPr>
          <w:rFonts w:hint="eastAsia" w:ascii="宋体" w:hAnsi="宋体"/>
          <w:szCs w:val="21"/>
        </w:rPr>
        <w:t>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）发包人应在监理人出具最终结清证书后的</w:t>
      </w:r>
      <w:r>
        <w:rPr>
          <w:rFonts w:ascii="宋体" w:hAnsi="宋体"/>
          <w:szCs w:val="21"/>
        </w:rPr>
        <w:t>14</w:t>
      </w:r>
      <w:r>
        <w:rPr>
          <w:rFonts w:hint="eastAsia" w:ascii="宋体" w:hAnsi="宋体"/>
          <w:szCs w:val="21"/>
        </w:rPr>
        <w:t>天内，将应支付款支付给承包人。发包人不按期支付的，按第</w:t>
      </w:r>
      <w:r>
        <w:rPr>
          <w:rFonts w:ascii="宋体" w:hAnsi="宋体"/>
          <w:szCs w:val="21"/>
        </w:rPr>
        <w:t>17.3.3</w:t>
      </w:r>
      <w:r>
        <w:rPr>
          <w:rFonts w:hint="eastAsia" w:ascii="宋体" w:hAnsi="宋体"/>
          <w:szCs w:val="21"/>
        </w:rPr>
        <w:t>（</w:t>
      </w:r>
      <w:r>
        <w:rPr>
          <w:rFonts w:ascii="宋体" w:hAnsi="宋体"/>
          <w:szCs w:val="21"/>
        </w:rPr>
        <w:t>2</w:t>
      </w:r>
      <w:r>
        <w:rPr>
          <w:rFonts w:hint="eastAsia" w:ascii="宋体" w:hAnsi="宋体"/>
          <w:szCs w:val="21"/>
        </w:rPr>
        <w:t>）目的约定，将逾期付款违约金支付给承包人。</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）承包人对发包人签认的最终结清证书有异议的，按第</w:t>
      </w:r>
      <w:r>
        <w:rPr>
          <w:rFonts w:ascii="宋体" w:hAnsi="宋体"/>
          <w:szCs w:val="21"/>
        </w:rPr>
        <w:t>24</w:t>
      </w:r>
      <w:r>
        <w:rPr>
          <w:rFonts w:hint="eastAsia" w:ascii="宋体" w:hAnsi="宋体"/>
          <w:szCs w:val="21"/>
        </w:rPr>
        <w:t>条“争议的解决”的约定办理。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）最终结清付款涉及政府投资资金的，按第</w:t>
      </w:r>
      <w:r>
        <w:rPr>
          <w:rFonts w:ascii="宋体" w:hAnsi="宋体"/>
          <w:szCs w:val="21"/>
        </w:rPr>
        <w:t>17.3.3</w:t>
      </w:r>
      <w:r>
        <w:rPr>
          <w:rFonts w:hint="eastAsia" w:ascii="宋体" w:hAnsi="宋体"/>
          <w:szCs w:val="21"/>
        </w:rPr>
        <w:t>（</w:t>
      </w:r>
      <w:r>
        <w:rPr>
          <w:rFonts w:ascii="宋体" w:hAnsi="宋体"/>
          <w:szCs w:val="21"/>
        </w:rPr>
        <w:t>4</w:t>
      </w:r>
      <w:r>
        <w:rPr>
          <w:rFonts w:hint="eastAsia" w:ascii="宋体" w:hAnsi="宋体"/>
          <w:szCs w:val="21"/>
        </w:rPr>
        <w:t>）目的约定办理。</w:t>
      </w:r>
    </w:p>
    <w:p>
      <w:pPr>
        <w:pStyle w:val="144"/>
        <w:spacing w:before="120" w:after="120"/>
      </w:pPr>
      <w:bookmarkStart w:id="2791" w:name="_Toc489279974"/>
      <w:bookmarkStart w:id="2792" w:name="_Toc486580163"/>
      <w:bookmarkStart w:id="2793" w:name="_Toc480487018"/>
      <w:bookmarkStart w:id="2794" w:name="_Toc490222608"/>
      <w:bookmarkStart w:id="2795" w:name="_Toc483668192"/>
      <w:bookmarkStart w:id="2796" w:name="_Toc342296376"/>
      <w:bookmarkStart w:id="2797" w:name="_Toc480486846"/>
      <w:bookmarkStart w:id="2798" w:name="_Toc338944818"/>
      <w:bookmarkStart w:id="2799" w:name="_Toc117350532"/>
      <w:r>
        <w:t>18.</w:t>
      </w:r>
      <w:r>
        <w:rPr>
          <w:rFonts w:hint="eastAsia"/>
        </w:rPr>
        <w:t>竣工验收</w:t>
      </w:r>
      <w:bookmarkEnd w:id="2791"/>
      <w:bookmarkEnd w:id="2792"/>
      <w:bookmarkEnd w:id="2793"/>
      <w:bookmarkEnd w:id="2794"/>
      <w:bookmarkEnd w:id="2795"/>
      <w:bookmarkEnd w:id="2796"/>
      <w:bookmarkEnd w:id="2797"/>
      <w:bookmarkEnd w:id="2798"/>
      <w:bookmarkEnd w:id="2799"/>
    </w:p>
    <w:p>
      <w:pPr>
        <w:pStyle w:val="155"/>
        <w:spacing w:before="120" w:after="120"/>
      </w:pPr>
      <w:bookmarkStart w:id="2800" w:name="_Toc490222609"/>
      <w:bookmarkStart w:id="2801" w:name="_Toc480487019"/>
      <w:bookmarkStart w:id="2802" w:name="_Toc338944819"/>
      <w:bookmarkStart w:id="2803" w:name="_Toc483668193"/>
      <w:bookmarkStart w:id="2804" w:name="_Toc179632744"/>
      <w:bookmarkStart w:id="2805" w:name="_Toc144974697"/>
      <w:bookmarkStart w:id="2806" w:name="_Toc480486847"/>
      <w:bookmarkStart w:id="2807" w:name="_Toc486580164"/>
      <w:bookmarkStart w:id="2808" w:name="_Toc342296377"/>
      <w:bookmarkStart w:id="2809" w:name="_Toc152045726"/>
      <w:bookmarkStart w:id="2810" w:name="_Toc152042505"/>
      <w:bookmarkStart w:id="2811" w:name="_Toc489279975"/>
      <w:bookmarkStart w:id="2812" w:name="_Toc117350533"/>
      <w:r>
        <w:t xml:space="preserve">18.1  </w:t>
      </w:r>
      <w:r>
        <w:rPr>
          <w:rFonts w:hint="eastAsia"/>
        </w:rPr>
        <w:t>竣工验收的含义</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pPr>
        <w:spacing w:line="360" w:lineRule="auto"/>
        <w:ind w:firstLine="420" w:firstLineChars="200"/>
        <w:rPr>
          <w:rFonts w:ascii="宋体"/>
          <w:szCs w:val="21"/>
        </w:rPr>
      </w:pPr>
      <w:r>
        <w:rPr>
          <w:rFonts w:ascii="宋体" w:hAnsi="宋体"/>
          <w:szCs w:val="21"/>
        </w:rPr>
        <w:t xml:space="preserve">18.1.1  </w:t>
      </w:r>
      <w:r>
        <w:rPr>
          <w:rFonts w:hint="eastAsia" w:ascii="宋体" w:hAnsi="宋体"/>
          <w:szCs w:val="21"/>
        </w:rPr>
        <w:t>竣工验收指承包人完成了全部合同工作后，发包人按合同要求进行的验收。</w:t>
      </w:r>
    </w:p>
    <w:p>
      <w:pPr>
        <w:spacing w:line="360" w:lineRule="auto"/>
        <w:ind w:firstLine="420" w:firstLineChars="200"/>
        <w:rPr>
          <w:rFonts w:ascii="宋体"/>
          <w:szCs w:val="21"/>
        </w:rPr>
      </w:pPr>
      <w:r>
        <w:rPr>
          <w:rFonts w:ascii="宋体" w:hAnsi="宋体"/>
          <w:szCs w:val="21"/>
        </w:rPr>
        <w:t xml:space="preserve">18.1.2  </w:t>
      </w:r>
      <w:r>
        <w:rPr>
          <w:rFonts w:hint="eastAsia" w:ascii="宋体" w:hAnsi="宋体"/>
          <w:szCs w:val="21"/>
        </w:rPr>
        <w:t>国家验收是政府有关部门根据法律、规范、规程和政策要求，针对发包人全面组织实施的整个工程正式交付投运前的验收。</w:t>
      </w:r>
    </w:p>
    <w:p>
      <w:pPr>
        <w:spacing w:line="360" w:lineRule="auto"/>
        <w:ind w:firstLine="420" w:firstLineChars="200"/>
        <w:rPr>
          <w:rFonts w:ascii="宋体"/>
          <w:szCs w:val="21"/>
        </w:rPr>
      </w:pPr>
      <w:r>
        <w:rPr>
          <w:rFonts w:ascii="宋体" w:hAnsi="宋体"/>
          <w:szCs w:val="21"/>
        </w:rPr>
        <w:t xml:space="preserve">18.1.3  </w:t>
      </w:r>
      <w:r>
        <w:rPr>
          <w:rFonts w:hint="eastAsia" w:ascii="宋体" w:hAnsi="宋体"/>
          <w:szCs w:val="21"/>
        </w:rPr>
        <w:t>需要进行国家验收的，竣工验收是国家验收的一部分。竣工验收所采用的各项验收和评定标准应符合国家验收标准。发包人和承包人为竣工验收提供的各项竣工验收资料应符合国家验收的要求。</w:t>
      </w:r>
      <w:r>
        <w:rPr>
          <w:rFonts w:ascii="宋体" w:hAnsi="宋体"/>
          <w:szCs w:val="21"/>
        </w:rPr>
        <w:t xml:space="preserve"> </w:t>
      </w:r>
    </w:p>
    <w:p>
      <w:pPr>
        <w:pStyle w:val="155"/>
        <w:spacing w:before="120" w:after="120"/>
      </w:pPr>
      <w:bookmarkStart w:id="2813" w:name="_Toc480486848"/>
      <w:bookmarkStart w:id="2814" w:name="_Toc489279976"/>
      <w:bookmarkStart w:id="2815" w:name="_Toc338944820"/>
      <w:bookmarkStart w:id="2816" w:name="_Toc342296378"/>
      <w:bookmarkStart w:id="2817" w:name="_Toc490222610"/>
      <w:bookmarkStart w:id="2818" w:name="_Toc480487020"/>
      <w:bookmarkStart w:id="2819" w:name="_Toc486580165"/>
      <w:bookmarkStart w:id="2820" w:name="_Toc483668194"/>
      <w:bookmarkStart w:id="2821" w:name="_Toc117350534"/>
      <w:r>
        <w:t xml:space="preserve">18.2  </w:t>
      </w:r>
      <w:r>
        <w:rPr>
          <w:rFonts w:hint="eastAsia"/>
        </w:rPr>
        <w:t>竣工验收申请报告</w:t>
      </w:r>
      <w:bookmarkEnd w:id="2813"/>
      <w:bookmarkEnd w:id="2814"/>
      <w:bookmarkEnd w:id="2815"/>
      <w:bookmarkEnd w:id="2816"/>
      <w:bookmarkEnd w:id="2817"/>
      <w:bookmarkEnd w:id="2818"/>
      <w:bookmarkEnd w:id="2819"/>
      <w:bookmarkEnd w:id="2820"/>
      <w:bookmarkEnd w:id="2821"/>
    </w:p>
    <w:p>
      <w:pPr>
        <w:spacing w:line="360" w:lineRule="auto"/>
        <w:ind w:firstLine="420" w:firstLineChars="200"/>
        <w:rPr>
          <w:rFonts w:ascii="宋体"/>
          <w:szCs w:val="21"/>
        </w:rPr>
      </w:pPr>
      <w:r>
        <w:rPr>
          <w:rFonts w:hint="eastAsia" w:ascii="宋体" w:hAnsi="宋体"/>
          <w:szCs w:val="21"/>
        </w:rPr>
        <w:t>当工程具备以下条件时，承包人即可向监理人报送竣工验收申请报告：</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）除监理人同意列入缺陷责任期内完成的尾工（甩项）工程和缺陷修补工作外，合同范围内的全部单位工程以及有关工作，包括合同要求的试验、试运行以及检验和验收均已完成，并符合合同要求。</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）已按监理人的要求编制了在缺陷责任期内需完成的尾工（甩项）工程，和缺陷修补工作清单等相应施工计划。</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）监理人要求在竣工验收前应完成的其他工作。</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）监理人要求提交的竣工验收资料清单。</w:t>
      </w:r>
    </w:p>
    <w:p>
      <w:pPr>
        <w:pStyle w:val="155"/>
        <w:spacing w:before="120" w:after="120"/>
      </w:pPr>
      <w:bookmarkStart w:id="2822" w:name="_Toc486580166"/>
      <w:bookmarkStart w:id="2823" w:name="_Toc480487021"/>
      <w:bookmarkStart w:id="2824" w:name="_Toc483668195"/>
      <w:bookmarkStart w:id="2825" w:name="_Toc489279977"/>
      <w:bookmarkStart w:id="2826" w:name="_Toc480486849"/>
      <w:bookmarkStart w:id="2827" w:name="_Toc342296379"/>
      <w:bookmarkStart w:id="2828" w:name="_Toc490222611"/>
      <w:bookmarkStart w:id="2829" w:name="_Toc338944821"/>
      <w:bookmarkStart w:id="2830" w:name="_Toc117350535"/>
      <w:r>
        <w:t xml:space="preserve">18.3  </w:t>
      </w:r>
      <w:r>
        <w:rPr>
          <w:rFonts w:hint="eastAsia"/>
        </w:rPr>
        <w:t>验收</w:t>
      </w:r>
      <w:bookmarkEnd w:id="2822"/>
      <w:bookmarkEnd w:id="2823"/>
      <w:bookmarkEnd w:id="2824"/>
      <w:bookmarkEnd w:id="2825"/>
      <w:bookmarkEnd w:id="2826"/>
      <w:bookmarkEnd w:id="2827"/>
      <w:bookmarkEnd w:id="2828"/>
      <w:bookmarkEnd w:id="2829"/>
      <w:bookmarkEnd w:id="2830"/>
    </w:p>
    <w:p>
      <w:pPr>
        <w:spacing w:line="360" w:lineRule="auto"/>
        <w:ind w:firstLine="420" w:firstLineChars="200"/>
        <w:rPr>
          <w:rFonts w:ascii="宋体"/>
          <w:szCs w:val="21"/>
        </w:rPr>
      </w:pPr>
      <w:r>
        <w:rPr>
          <w:rFonts w:hint="eastAsia" w:ascii="宋体" w:hAnsi="宋体"/>
          <w:szCs w:val="21"/>
        </w:rPr>
        <w:t>监理人收到承包人按第</w:t>
      </w:r>
      <w:r>
        <w:rPr>
          <w:rFonts w:ascii="宋体" w:hAnsi="宋体"/>
          <w:szCs w:val="21"/>
        </w:rPr>
        <w:t>18.2</w:t>
      </w:r>
      <w:r>
        <w:rPr>
          <w:rFonts w:hint="eastAsia" w:ascii="宋体" w:hAnsi="宋体"/>
          <w:szCs w:val="21"/>
        </w:rPr>
        <w:t>款约定提交的竣工验收申请报告后，应审查申请报告的各项内容，并按以下不同情况进行处理。</w:t>
      </w:r>
    </w:p>
    <w:p>
      <w:pPr>
        <w:spacing w:line="360" w:lineRule="auto"/>
        <w:ind w:firstLine="420" w:firstLineChars="200"/>
        <w:rPr>
          <w:rFonts w:ascii="宋体"/>
          <w:szCs w:val="21"/>
        </w:rPr>
      </w:pPr>
      <w:r>
        <w:rPr>
          <w:rFonts w:ascii="宋体" w:hAnsi="宋体"/>
          <w:szCs w:val="21"/>
        </w:rPr>
        <w:t xml:space="preserve">18.3.1  </w:t>
      </w:r>
      <w:r>
        <w:rPr>
          <w:rFonts w:hint="eastAsia" w:ascii="宋体" w:hAnsi="宋体"/>
          <w:szCs w:val="21"/>
        </w:rPr>
        <w:t>监理人审查后认为尚不具备竣工验收条件的，应在收到竣工验收申请报告后的</w:t>
      </w:r>
      <w:r>
        <w:rPr>
          <w:rFonts w:ascii="宋体" w:hAnsi="宋体"/>
          <w:szCs w:val="21"/>
        </w:rPr>
        <w:t>28</w:t>
      </w:r>
      <w:r>
        <w:rPr>
          <w:rFonts w:hint="eastAsia" w:ascii="宋体" w:hAnsi="宋体"/>
          <w:szCs w:val="21"/>
        </w:rPr>
        <w:t>天内通知承包人，并指出在颁发接收证书前承包人需进行的工作内容。承包人完成监理人通知的全部工作内容后，应再次提交竣工验收申请报告，直至监理人同意为止。</w:t>
      </w:r>
    </w:p>
    <w:p>
      <w:pPr>
        <w:spacing w:line="360" w:lineRule="auto"/>
        <w:ind w:firstLine="420" w:firstLineChars="200"/>
        <w:rPr>
          <w:rFonts w:ascii="宋体"/>
          <w:szCs w:val="21"/>
        </w:rPr>
      </w:pPr>
      <w:r>
        <w:rPr>
          <w:rFonts w:ascii="宋体" w:hAnsi="宋体"/>
          <w:szCs w:val="21"/>
        </w:rPr>
        <w:t xml:space="preserve">18.3.2  </w:t>
      </w:r>
      <w:r>
        <w:rPr>
          <w:rFonts w:hint="eastAsia" w:ascii="宋体" w:hAnsi="宋体"/>
          <w:szCs w:val="21"/>
        </w:rPr>
        <w:t>监理人审查后认为已具备竣工验收条件的，应在收到竣工验收申请报告后的</w:t>
      </w:r>
      <w:r>
        <w:rPr>
          <w:rFonts w:ascii="宋体" w:hAnsi="宋体"/>
          <w:szCs w:val="21"/>
        </w:rPr>
        <w:t>28</w:t>
      </w:r>
      <w:r>
        <w:rPr>
          <w:rFonts w:hint="eastAsia" w:ascii="宋体" w:hAnsi="宋体"/>
          <w:szCs w:val="21"/>
        </w:rPr>
        <w:t>天内提请发包人进行工程验收。</w:t>
      </w:r>
    </w:p>
    <w:p>
      <w:pPr>
        <w:spacing w:line="360" w:lineRule="auto"/>
        <w:ind w:firstLine="420" w:firstLineChars="200"/>
        <w:rPr>
          <w:rFonts w:ascii="宋体"/>
          <w:szCs w:val="21"/>
        </w:rPr>
      </w:pPr>
      <w:r>
        <w:rPr>
          <w:rFonts w:ascii="宋体" w:hAnsi="宋体"/>
          <w:szCs w:val="21"/>
        </w:rPr>
        <w:t xml:space="preserve">18.3.3  </w:t>
      </w:r>
      <w:r>
        <w:rPr>
          <w:rFonts w:hint="eastAsia" w:ascii="宋体" w:hAnsi="宋体"/>
          <w:szCs w:val="21"/>
        </w:rPr>
        <w:t>发包人经过验收后同意接受工程的，应在监理人收到竣工验收申请报告后的</w:t>
      </w:r>
      <w:r>
        <w:rPr>
          <w:rFonts w:ascii="宋体" w:hAnsi="宋体"/>
          <w:szCs w:val="21"/>
        </w:rPr>
        <w:t>56</w:t>
      </w:r>
      <w:r>
        <w:rPr>
          <w:rFonts w:hint="eastAsia" w:ascii="宋体" w:hAnsi="宋体"/>
          <w:szCs w:val="21"/>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pPr>
        <w:spacing w:line="360" w:lineRule="auto"/>
        <w:ind w:firstLine="420" w:firstLineChars="200"/>
        <w:rPr>
          <w:rFonts w:ascii="宋体"/>
          <w:szCs w:val="21"/>
        </w:rPr>
      </w:pPr>
      <w:r>
        <w:rPr>
          <w:rFonts w:ascii="宋体" w:hAnsi="宋体"/>
          <w:szCs w:val="21"/>
        </w:rPr>
        <w:t xml:space="preserve">18.3.4  </w:t>
      </w:r>
      <w:r>
        <w:rPr>
          <w:rFonts w:hint="eastAsia" w:ascii="宋体" w:hAnsi="宋体"/>
          <w:szCs w:val="21"/>
        </w:rPr>
        <w:t>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ascii="宋体" w:hAnsi="宋体"/>
          <w:szCs w:val="21"/>
        </w:rPr>
        <w:t>18.3.1</w:t>
      </w:r>
      <w:r>
        <w:rPr>
          <w:rFonts w:hint="eastAsia" w:ascii="宋体" w:hAnsi="宋体"/>
          <w:szCs w:val="21"/>
        </w:rPr>
        <w:t>项、第</w:t>
      </w:r>
      <w:r>
        <w:rPr>
          <w:rFonts w:ascii="宋体" w:hAnsi="宋体"/>
          <w:szCs w:val="21"/>
        </w:rPr>
        <w:t>18.3.2</w:t>
      </w:r>
      <w:r>
        <w:rPr>
          <w:rFonts w:hint="eastAsia" w:ascii="宋体" w:hAnsi="宋体"/>
          <w:szCs w:val="21"/>
        </w:rPr>
        <w:t>项和第</w:t>
      </w:r>
      <w:r>
        <w:rPr>
          <w:rFonts w:ascii="宋体" w:hAnsi="宋体"/>
          <w:szCs w:val="21"/>
        </w:rPr>
        <w:t>18.3.3</w:t>
      </w:r>
      <w:r>
        <w:rPr>
          <w:rFonts w:hint="eastAsia" w:ascii="宋体" w:hAnsi="宋体"/>
          <w:szCs w:val="21"/>
        </w:rPr>
        <w:t>项的约定进行。</w:t>
      </w:r>
    </w:p>
    <w:p>
      <w:pPr>
        <w:spacing w:line="360" w:lineRule="auto"/>
        <w:ind w:firstLine="420" w:firstLineChars="200"/>
        <w:rPr>
          <w:rFonts w:ascii="宋体"/>
          <w:szCs w:val="21"/>
        </w:rPr>
      </w:pPr>
      <w:r>
        <w:rPr>
          <w:rFonts w:ascii="宋体" w:hAnsi="宋体"/>
          <w:szCs w:val="21"/>
        </w:rPr>
        <w:t xml:space="preserve">18.3.5  </w:t>
      </w:r>
      <w:r>
        <w:rPr>
          <w:rFonts w:hint="eastAsia" w:ascii="宋体" w:hAnsi="宋体"/>
          <w:szCs w:val="21"/>
        </w:rPr>
        <w:t>经验收合格的工程</w:t>
      </w:r>
      <w:r>
        <w:rPr>
          <w:rFonts w:ascii="宋体" w:hAnsi="宋体"/>
          <w:szCs w:val="21"/>
        </w:rPr>
        <w:t xml:space="preserve">, </w:t>
      </w:r>
      <w:r>
        <w:rPr>
          <w:rFonts w:hint="eastAsia" w:ascii="宋体" w:hAnsi="宋体"/>
          <w:szCs w:val="21"/>
        </w:rPr>
        <w:t>实际竣工日期为承包人按照第</w:t>
      </w:r>
      <w:r>
        <w:rPr>
          <w:rFonts w:ascii="宋体" w:hAnsi="宋体"/>
          <w:szCs w:val="21"/>
        </w:rPr>
        <w:t>18.2</w:t>
      </w:r>
      <w:r>
        <w:rPr>
          <w:rFonts w:hint="eastAsia" w:ascii="宋体" w:hAnsi="宋体"/>
          <w:szCs w:val="21"/>
        </w:rPr>
        <w:t>款提交竣工验收申请报告或按照本款重新提交竣工验收申请报告的日期（以两者中时间在后者为准）。</w:t>
      </w:r>
    </w:p>
    <w:p>
      <w:pPr>
        <w:spacing w:line="360" w:lineRule="auto"/>
        <w:ind w:firstLine="420" w:firstLineChars="200"/>
        <w:rPr>
          <w:rFonts w:ascii="宋体"/>
          <w:szCs w:val="21"/>
        </w:rPr>
      </w:pPr>
      <w:r>
        <w:rPr>
          <w:rFonts w:ascii="宋体" w:hAnsi="宋体"/>
          <w:szCs w:val="21"/>
        </w:rPr>
        <w:t xml:space="preserve">18.3.6  </w:t>
      </w:r>
      <w:r>
        <w:rPr>
          <w:rFonts w:hint="eastAsia" w:ascii="宋体" w:hAnsi="宋体"/>
          <w:szCs w:val="21"/>
        </w:rPr>
        <w:t>发包人在收到承包人竣工验收申请报告</w:t>
      </w:r>
      <w:r>
        <w:rPr>
          <w:rFonts w:ascii="宋体" w:hAnsi="宋体"/>
          <w:szCs w:val="21"/>
        </w:rPr>
        <w:t>56</w:t>
      </w:r>
      <w:r>
        <w:rPr>
          <w:rFonts w:hint="eastAsia" w:ascii="宋体" w:hAnsi="宋体"/>
          <w:szCs w:val="21"/>
        </w:rPr>
        <w:t>天后未进行验收的，视为验收合格，实际竣工日期以提交竣工验收申请报告的日期为准，但发包人由于不可抗力不能进行验收的除外。</w:t>
      </w:r>
    </w:p>
    <w:p>
      <w:pPr>
        <w:pStyle w:val="155"/>
        <w:spacing w:before="120" w:after="120"/>
      </w:pPr>
      <w:bookmarkStart w:id="2831" w:name="_Toc486580167"/>
      <w:bookmarkStart w:id="2832" w:name="_Toc490222612"/>
      <w:bookmarkStart w:id="2833" w:name="_Toc152042508"/>
      <w:bookmarkStart w:id="2834" w:name="_Toc338944822"/>
      <w:bookmarkStart w:id="2835" w:name="_Toc342296380"/>
      <w:bookmarkStart w:id="2836" w:name="_Toc480486850"/>
      <w:bookmarkStart w:id="2837" w:name="_Toc179632747"/>
      <w:bookmarkStart w:id="2838" w:name="_Toc152045729"/>
      <w:bookmarkStart w:id="2839" w:name="_Toc144974700"/>
      <w:bookmarkStart w:id="2840" w:name="_Toc483668196"/>
      <w:bookmarkStart w:id="2841" w:name="_Toc480487022"/>
      <w:bookmarkStart w:id="2842" w:name="_Toc489279978"/>
      <w:bookmarkStart w:id="2843" w:name="_Toc117350536"/>
      <w:r>
        <w:t xml:space="preserve">18.4  </w:t>
      </w:r>
      <w:r>
        <w:rPr>
          <w:rFonts w:hint="eastAsia"/>
        </w:rPr>
        <w:t>单位工程验收</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pPr>
        <w:spacing w:line="360" w:lineRule="auto"/>
        <w:ind w:firstLine="420" w:firstLineChars="200"/>
        <w:rPr>
          <w:rFonts w:ascii="宋体"/>
          <w:szCs w:val="21"/>
        </w:rPr>
      </w:pPr>
      <w:r>
        <w:rPr>
          <w:rFonts w:ascii="宋体" w:hAnsi="宋体"/>
          <w:szCs w:val="21"/>
        </w:rPr>
        <w:t xml:space="preserve">18.4.1  </w:t>
      </w:r>
      <w:r>
        <w:rPr>
          <w:rFonts w:hint="eastAsia" w:ascii="宋体" w:hAnsi="宋体"/>
          <w:szCs w:val="21"/>
        </w:rPr>
        <w:t>发包人根据合同进度计划安排，在全部工程竣工前需要使用已经竣工的单位工程时，或承包人提出经发包人同意时，可进行单位工程验收。验收的程序可参照第</w:t>
      </w:r>
      <w:r>
        <w:rPr>
          <w:rFonts w:ascii="宋体" w:hAnsi="宋体"/>
          <w:szCs w:val="21"/>
        </w:rPr>
        <w:t>18.2</w:t>
      </w:r>
      <w:r>
        <w:rPr>
          <w:rFonts w:hint="eastAsia" w:ascii="宋体" w:hAnsi="宋体"/>
          <w:szCs w:val="21"/>
        </w:rPr>
        <w:t>款与第</w:t>
      </w:r>
      <w:r>
        <w:rPr>
          <w:rFonts w:ascii="宋体" w:hAnsi="宋体"/>
          <w:szCs w:val="21"/>
        </w:rPr>
        <w:t>18.3</w:t>
      </w:r>
      <w:r>
        <w:rPr>
          <w:rFonts w:hint="eastAsia" w:ascii="宋体" w:hAnsi="宋体"/>
          <w:szCs w:val="21"/>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pPr>
        <w:spacing w:line="360" w:lineRule="auto"/>
        <w:ind w:firstLine="420" w:firstLineChars="200"/>
        <w:rPr>
          <w:rFonts w:ascii="宋体"/>
          <w:szCs w:val="21"/>
        </w:rPr>
      </w:pPr>
      <w:r>
        <w:rPr>
          <w:rFonts w:ascii="宋体" w:hAnsi="宋体"/>
          <w:szCs w:val="21"/>
        </w:rPr>
        <w:t xml:space="preserve">18.4.2  </w:t>
      </w:r>
      <w:r>
        <w:rPr>
          <w:rFonts w:hint="eastAsia" w:ascii="宋体" w:hAnsi="宋体"/>
          <w:szCs w:val="21"/>
        </w:rPr>
        <w:t>发包人在全部工程竣工前，使用已接收的单位工程导致承包人费用增加的，发包人应承担由此增加的费用和（或）工期延误，并支付承包人合理利润。</w:t>
      </w:r>
    </w:p>
    <w:p>
      <w:pPr>
        <w:pStyle w:val="155"/>
        <w:spacing w:before="120" w:after="120"/>
      </w:pPr>
      <w:bookmarkStart w:id="2844" w:name="_Toc480487023"/>
      <w:bookmarkStart w:id="2845" w:name="_Toc483668197"/>
      <w:bookmarkStart w:id="2846" w:name="_Toc480486851"/>
      <w:bookmarkStart w:id="2847" w:name="_Toc338944823"/>
      <w:bookmarkStart w:id="2848" w:name="_Toc490222613"/>
      <w:bookmarkStart w:id="2849" w:name="_Toc489279979"/>
      <w:bookmarkStart w:id="2850" w:name="_Toc486580168"/>
      <w:bookmarkStart w:id="2851" w:name="_Toc342296381"/>
      <w:bookmarkStart w:id="2852" w:name="_Toc117350537"/>
      <w:r>
        <w:t xml:space="preserve">18.5  </w:t>
      </w:r>
      <w:r>
        <w:rPr>
          <w:rFonts w:hint="eastAsia"/>
        </w:rPr>
        <w:t>施工期运行</w:t>
      </w:r>
      <w:bookmarkEnd w:id="2844"/>
      <w:bookmarkEnd w:id="2845"/>
      <w:bookmarkEnd w:id="2846"/>
      <w:bookmarkEnd w:id="2847"/>
      <w:bookmarkEnd w:id="2848"/>
      <w:bookmarkEnd w:id="2849"/>
      <w:bookmarkEnd w:id="2850"/>
      <w:bookmarkEnd w:id="2851"/>
      <w:bookmarkEnd w:id="2852"/>
    </w:p>
    <w:p>
      <w:pPr>
        <w:spacing w:line="360" w:lineRule="auto"/>
        <w:ind w:firstLine="420" w:firstLineChars="200"/>
        <w:rPr>
          <w:rFonts w:ascii="宋体"/>
        </w:rPr>
      </w:pPr>
      <w:r>
        <w:rPr>
          <w:rFonts w:ascii="宋体" w:hAnsi="宋体"/>
        </w:rPr>
        <w:t xml:space="preserve">18.5.1  </w:t>
      </w:r>
      <w:r>
        <w:rPr>
          <w:rFonts w:hint="eastAsia" w:ascii="宋体" w:hAnsi="宋体"/>
        </w:rPr>
        <w:t>施工期运行是指合同工程尚未全部竣工，其中某项或某几项单位工程或工程设备安装已竣工，根据合同条款专用部分约定，需要投入施工期运行的，经发包人按第</w:t>
      </w:r>
      <w:r>
        <w:rPr>
          <w:rFonts w:ascii="宋体" w:hAnsi="宋体"/>
        </w:rPr>
        <w:t>18.4</w:t>
      </w:r>
      <w:r>
        <w:rPr>
          <w:rFonts w:hint="eastAsia" w:ascii="宋体" w:hAnsi="宋体"/>
        </w:rPr>
        <w:t>款的约定验收合格，证明能确保安全后，才能在施工期投入运行。</w:t>
      </w:r>
    </w:p>
    <w:p>
      <w:pPr>
        <w:spacing w:line="360" w:lineRule="auto"/>
        <w:ind w:firstLine="420" w:firstLineChars="200"/>
        <w:rPr>
          <w:rFonts w:ascii="宋体"/>
        </w:rPr>
      </w:pPr>
      <w:r>
        <w:rPr>
          <w:rFonts w:ascii="宋体" w:hAnsi="宋体"/>
        </w:rPr>
        <w:t xml:space="preserve">18.5.2  </w:t>
      </w:r>
      <w:r>
        <w:rPr>
          <w:rFonts w:hint="eastAsia" w:ascii="宋体" w:hAnsi="宋体"/>
        </w:rPr>
        <w:t>在施工期运行中发现工程或工程设备损坏或存在缺陷的，由承包人按第</w:t>
      </w:r>
      <w:r>
        <w:rPr>
          <w:rFonts w:ascii="宋体" w:hAnsi="宋体"/>
        </w:rPr>
        <w:t>19.2</w:t>
      </w:r>
      <w:r>
        <w:rPr>
          <w:rFonts w:hint="eastAsia" w:ascii="宋体" w:hAnsi="宋体"/>
        </w:rPr>
        <w:t>款约定进行修复。</w:t>
      </w:r>
    </w:p>
    <w:p>
      <w:pPr>
        <w:pStyle w:val="155"/>
        <w:spacing w:before="120" w:after="120"/>
      </w:pPr>
      <w:bookmarkStart w:id="2853" w:name="_Toc483668198"/>
      <w:bookmarkStart w:id="2854" w:name="_Toc342296382"/>
      <w:bookmarkStart w:id="2855" w:name="_Toc480486852"/>
      <w:bookmarkStart w:id="2856" w:name="_Toc338944824"/>
      <w:bookmarkStart w:id="2857" w:name="_Toc490222614"/>
      <w:bookmarkStart w:id="2858" w:name="_Toc489279980"/>
      <w:bookmarkStart w:id="2859" w:name="_Toc480487024"/>
      <w:bookmarkStart w:id="2860" w:name="_Toc486580169"/>
      <w:bookmarkStart w:id="2861" w:name="_Toc117350538"/>
      <w:r>
        <w:t xml:space="preserve">18.6  </w:t>
      </w:r>
      <w:r>
        <w:rPr>
          <w:rFonts w:hint="eastAsia"/>
        </w:rPr>
        <w:t>试运行</w:t>
      </w:r>
      <w:bookmarkEnd w:id="2853"/>
      <w:bookmarkEnd w:id="2854"/>
      <w:bookmarkEnd w:id="2855"/>
      <w:bookmarkEnd w:id="2856"/>
      <w:bookmarkEnd w:id="2857"/>
      <w:bookmarkEnd w:id="2858"/>
      <w:bookmarkEnd w:id="2859"/>
      <w:bookmarkEnd w:id="2860"/>
      <w:bookmarkEnd w:id="2861"/>
    </w:p>
    <w:p>
      <w:pPr>
        <w:spacing w:line="360" w:lineRule="auto"/>
        <w:ind w:firstLine="420" w:firstLineChars="200"/>
        <w:rPr>
          <w:rFonts w:ascii="宋体"/>
          <w:szCs w:val="21"/>
        </w:rPr>
      </w:pPr>
      <w:r>
        <w:rPr>
          <w:rFonts w:ascii="宋体" w:hAnsi="宋体"/>
          <w:szCs w:val="21"/>
        </w:rPr>
        <w:t xml:space="preserve">18.6.1  </w:t>
      </w:r>
      <w:r>
        <w:rPr>
          <w:rFonts w:hint="eastAsia" w:ascii="宋体" w:hAnsi="宋体"/>
          <w:szCs w:val="21"/>
        </w:rPr>
        <w:t>工程及工程设备试运行的组织与费用承担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）工程设备安装具备单机无负荷试运行条件，由承包人组织试运行，费用由承包人承担。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）工程设备安装具备无负荷联动试运行条件，由发包人组织试运行，费用由发包人承担。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）投料试运行应在工程竣工验收后由发包人负责，如发包人要求在工程竣工验收前进行或需要承包人配合时，应征得承包人同意，另行签订补充协议。</w:t>
      </w:r>
    </w:p>
    <w:p>
      <w:pPr>
        <w:spacing w:line="360" w:lineRule="auto"/>
        <w:ind w:firstLine="420" w:firstLineChars="200"/>
        <w:rPr>
          <w:rFonts w:ascii="宋体"/>
          <w:szCs w:val="21"/>
        </w:rPr>
      </w:pPr>
      <w:r>
        <w:rPr>
          <w:rFonts w:ascii="宋体" w:hAnsi="宋体"/>
          <w:szCs w:val="21"/>
        </w:rPr>
        <w:t xml:space="preserve">18.6.2  </w:t>
      </w:r>
      <w:r>
        <w:rPr>
          <w:rFonts w:hint="eastAsia" w:ascii="宋体" w:hAnsi="宋体"/>
          <w:szCs w:val="21"/>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155"/>
        <w:spacing w:before="120" w:after="120"/>
      </w:pPr>
      <w:bookmarkStart w:id="2862" w:name="_Toc338944825"/>
      <w:bookmarkStart w:id="2863" w:name="_Toc490222615"/>
      <w:bookmarkStart w:id="2864" w:name="_Toc489279981"/>
      <w:bookmarkStart w:id="2865" w:name="_Toc480487025"/>
      <w:bookmarkStart w:id="2866" w:name="_Toc486580170"/>
      <w:bookmarkStart w:id="2867" w:name="_Toc342296383"/>
      <w:bookmarkStart w:id="2868" w:name="_Toc483668199"/>
      <w:bookmarkStart w:id="2869" w:name="_Toc480486853"/>
      <w:bookmarkStart w:id="2870" w:name="_Toc117350539"/>
      <w:r>
        <w:t xml:space="preserve">18.7  </w:t>
      </w:r>
      <w:r>
        <w:rPr>
          <w:rFonts w:hint="eastAsia"/>
        </w:rPr>
        <w:t>竣工清场</w:t>
      </w:r>
      <w:bookmarkEnd w:id="2862"/>
      <w:bookmarkEnd w:id="2863"/>
      <w:bookmarkEnd w:id="2864"/>
      <w:bookmarkEnd w:id="2865"/>
      <w:bookmarkEnd w:id="2866"/>
      <w:bookmarkEnd w:id="2867"/>
      <w:bookmarkEnd w:id="2868"/>
      <w:bookmarkEnd w:id="2869"/>
      <w:bookmarkEnd w:id="2870"/>
    </w:p>
    <w:p>
      <w:pPr>
        <w:spacing w:line="360" w:lineRule="auto"/>
        <w:ind w:firstLine="420" w:firstLineChars="200"/>
        <w:rPr>
          <w:rFonts w:ascii="宋体"/>
          <w:szCs w:val="21"/>
        </w:rPr>
      </w:pPr>
      <w:r>
        <w:rPr>
          <w:rFonts w:ascii="宋体" w:hAnsi="宋体"/>
          <w:szCs w:val="21"/>
        </w:rPr>
        <w:t xml:space="preserve">18.7.1  </w:t>
      </w:r>
      <w:r>
        <w:rPr>
          <w:rFonts w:hint="eastAsia" w:ascii="宋体" w:hAnsi="宋体"/>
          <w:szCs w:val="21"/>
        </w:rPr>
        <w:t>监理人颁发（出具）工程接收证书后，承包人负责按照以下要求对施工场地进行清理，直至监理人检验合格为止。竣工清场费用由承包人承担。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）施工场地内残留的垃圾已全部清除出场；</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）临时工程已拆除，场地已按合同要求进行清理、平整或复原；</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）按合同约定应撤离的承包人设备和剩余的材料，包括废弃的施工设备和材料，已按计划撤离施工场地；</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）工程建筑物周边及其附近道路、河道的施工堆积物，已按监理人指示全部清理；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）监理人指示的其他场地清理工作已全部完成。</w:t>
      </w:r>
    </w:p>
    <w:p>
      <w:pPr>
        <w:spacing w:line="360" w:lineRule="auto"/>
        <w:ind w:firstLine="420" w:firstLineChars="200"/>
        <w:rPr>
          <w:rFonts w:ascii="宋体"/>
          <w:szCs w:val="21"/>
        </w:rPr>
      </w:pPr>
      <w:r>
        <w:rPr>
          <w:rFonts w:ascii="宋体" w:hAnsi="宋体"/>
          <w:szCs w:val="21"/>
        </w:rPr>
        <w:t xml:space="preserve">18.7.2  </w:t>
      </w:r>
      <w:r>
        <w:rPr>
          <w:rFonts w:hint="eastAsia" w:ascii="宋体" w:hAnsi="宋体"/>
          <w:szCs w:val="21"/>
        </w:rPr>
        <w:t>承包人未按监理人的要求恢复临时占地，或者场地清理未达到合同约定的，发包人有权委托其他人恢复或清理，所发生的金额从拟支付给承包人的款项中扣除。</w:t>
      </w:r>
    </w:p>
    <w:p>
      <w:pPr>
        <w:pStyle w:val="155"/>
        <w:spacing w:before="120" w:after="120"/>
      </w:pPr>
      <w:bookmarkStart w:id="2871" w:name="_Toc486580171"/>
      <w:bookmarkStart w:id="2872" w:name="_Toc490222616"/>
      <w:bookmarkStart w:id="2873" w:name="_Toc480486854"/>
      <w:bookmarkStart w:id="2874" w:name="_Toc483668200"/>
      <w:bookmarkStart w:id="2875" w:name="_Toc342296384"/>
      <w:bookmarkStart w:id="2876" w:name="_Toc338944826"/>
      <w:bookmarkStart w:id="2877" w:name="_Toc480487026"/>
      <w:bookmarkStart w:id="2878" w:name="_Toc489279982"/>
      <w:bookmarkStart w:id="2879" w:name="_Toc117350540"/>
      <w:r>
        <w:t xml:space="preserve">18.8  </w:t>
      </w:r>
      <w:r>
        <w:rPr>
          <w:rFonts w:hint="eastAsia"/>
        </w:rPr>
        <w:t>施工队伍的撤离</w:t>
      </w:r>
      <w:bookmarkEnd w:id="2871"/>
      <w:bookmarkEnd w:id="2872"/>
      <w:bookmarkEnd w:id="2873"/>
      <w:bookmarkEnd w:id="2874"/>
      <w:bookmarkEnd w:id="2875"/>
      <w:bookmarkEnd w:id="2876"/>
      <w:bookmarkEnd w:id="2877"/>
      <w:bookmarkEnd w:id="2878"/>
      <w:bookmarkEnd w:id="2879"/>
    </w:p>
    <w:p>
      <w:pPr>
        <w:spacing w:line="360" w:lineRule="auto"/>
        <w:ind w:firstLine="420" w:firstLineChars="200"/>
        <w:rPr>
          <w:rFonts w:ascii="宋体"/>
          <w:szCs w:val="21"/>
        </w:rPr>
      </w:pPr>
      <w:r>
        <w:rPr>
          <w:rFonts w:ascii="宋体" w:hAnsi="宋体"/>
          <w:szCs w:val="21"/>
        </w:rPr>
        <w:t xml:space="preserve">18.8.1  </w:t>
      </w:r>
      <w:r>
        <w:rPr>
          <w:rFonts w:hint="eastAsia" w:ascii="宋体" w:hAnsi="宋体"/>
          <w:szCs w:val="21"/>
        </w:rPr>
        <w:t>工程接收证书颁发后的</w:t>
      </w:r>
      <w:r>
        <w:rPr>
          <w:rFonts w:ascii="宋体" w:hAnsi="宋体"/>
          <w:szCs w:val="21"/>
        </w:rPr>
        <w:t>56</w:t>
      </w:r>
      <w:r>
        <w:rPr>
          <w:rFonts w:hint="eastAsia" w:ascii="宋体" w:hAnsi="宋体"/>
          <w:szCs w:val="21"/>
        </w:rPr>
        <w:t>天内，除了经监理人同意需在缺陷责任期内继续工作和使用的人员、施工设备和临时工程外，其余的人员、施工设备和临时工程均应撤离施工场地或拆除。</w:t>
      </w:r>
    </w:p>
    <w:p>
      <w:pPr>
        <w:spacing w:line="360" w:lineRule="auto"/>
        <w:ind w:firstLine="420" w:firstLineChars="200"/>
        <w:rPr>
          <w:rFonts w:ascii="宋体"/>
          <w:szCs w:val="21"/>
        </w:rPr>
      </w:pPr>
      <w:r>
        <w:rPr>
          <w:rFonts w:ascii="宋体" w:hAnsi="宋体"/>
          <w:szCs w:val="21"/>
        </w:rPr>
        <w:t xml:space="preserve">18.8.2  </w:t>
      </w:r>
      <w:r>
        <w:rPr>
          <w:rFonts w:hint="eastAsia" w:ascii="宋体" w:hAnsi="宋体"/>
          <w:szCs w:val="21"/>
        </w:rPr>
        <w:t>承包人撤离施工场地（现场）时，监理人和承包人应当办理永久工程和施工场地移交手续，移交手续以书面方式出具，并分别经过发包人、监理人和承包人的签认。但是，监理人和发包人未按第</w:t>
      </w:r>
      <w:r>
        <w:rPr>
          <w:rFonts w:ascii="宋体" w:hAnsi="宋体"/>
          <w:szCs w:val="21"/>
        </w:rPr>
        <w:t>17.5.2</w:t>
      </w:r>
      <w:r>
        <w:rPr>
          <w:rFonts w:hint="eastAsia" w:ascii="宋体" w:hAnsi="宋体"/>
          <w:szCs w:val="21"/>
        </w:rPr>
        <w:t>项约定的期限办清竣工结算和竣工付款的，本工程不得交付使用，发包人和监理人也无权要求承包人按合同约定的期限撤离施工场地（现场）和办理工程移交手续。</w:t>
      </w:r>
    </w:p>
    <w:p>
      <w:pPr>
        <w:spacing w:line="360" w:lineRule="auto"/>
        <w:ind w:firstLine="420" w:firstLineChars="200"/>
        <w:rPr>
          <w:rFonts w:ascii="宋体"/>
          <w:szCs w:val="21"/>
        </w:rPr>
      </w:pPr>
      <w:r>
        <w:rPr>
          <w:rFonts w:ascii="宋体" w:hAnsi="宋体"/>
          <w:szCs w:val="21"/>
        </w:rPr>
        <w:t xml:space="preserve">18.8.3  </w:t>
      </w:r>
      <w:r>
        <w:rPr>
          <w:rFonts w:hint="eastAsia" w:ascii="宋体" w:hAnsi="宋体"/>
          <w:szCs w:val="21"/>
        </w:rPr>
        <w:t>缺陷责任期满时，承包人的人员和施工设备应在合同约定期限内全部撤离施工场地。撤离施工场地的期限要求</w:t>
      </w:r>
      <w:r>
        <w:rPr>
          <w:rFonts w:hint="eastAsia" w:ascii="黑体" w:hAnsi="黑体" w:eastAsia="黑体"/>
          <w:szCs w:val="21"/>
        </w:rPr>
        <w:t>见合同条款专用部分</w:t>
      </w:r>
      <w:r>
        <w:rPr>
          <w:rFonts w:hint="eastAsia" w:ascii="宋体" w:hAnsi="宋体"/>
          <w:szCs w:val="21"/>
        </w:rPr>
        <w:t>。</w:t>
      </w:r>
    </w:p>
    <w:p>
      <w:pPr>
        <w:pStyle w:val="155"/>
        <w:spacing w:before="120" w:after="120"/>
      </w:pPr>
      <w:bookmarkStart w:id="2880" w:name="_Toc486580172"/>
      <w:bookmarkStart w:id="2881" w:name="_Toc241459736"/>
      <w:bookmarkStart w:id="2882" w:name="_Toc480487027"/>
      <w:bookmarkStart w:id="2883" w:name="_Toc476479383"/>
      <w:bookmarkStart w:id="2884" w:name="_Toc489279983"/>
      <w:bookmarkStart w:id="2885" w:name="_Toc483668201"/>
      <w:bookmarkStart w:id="2886" w:name="_Toc490222617"/>
      <w:bookmarkStart w:id="2887" w:name="_Toc480486855"/>
      <w:bookmarkStart w:id="2888" w:name="_Toc342296495"/>
      <w:bookmarkStart w:id="2889" w:name="_Toc117350541"/>
      <w:r>
        <w:t xml:space="preserve">18.9  </w:t>
      </w:r>
      <w:r>
        <w:rPr>
          <w:rFonts w:hint="eastAsia"/>
        </w:rPr>
        <w:t>中间验收</w:t>
      </w:r>
      <w:bookmarkEnd w:id="2880"/>
      <w:bookmarkEnd w:id="2881"/>
      <w:bookmarkEnd w:id="2882"/>
      <w:bookmarkEnd w:id="2883"/>
      <w:bookmarkEnd w:id="2884"/>
      <w:bookmarkEnd w:id="2885"/>
      <w:bookmarkEnd w:id="2886"/>
      <w:bookmarkEnd w:id="2887"/>
      <w:bookmarkEnd w:id="2888"/>
      <w:bookmarkEnd w:id="2889"/>
    </w:p>
    <w:p>
      <w:pPr>
        <w:spacing w:line="360" w:lineRule="auto"/>
        <w:ind w:firstLine="420" w:firstLineChars="200"/>
        <w:rPr>
          <w:rFonts w:ascii="宋体"/>
          <w:szCs w:val="21"/>
        </w:rPr>
      </w:pPr>
      <w:r>
        <w:rPr>
          <w:rFonts w:ascii="宋体" w:hAnsi="宋体"/>
          <w:szCs w:val="21"/>
        </w:rPr>
        <w:t xml:space="preserve">18.9.1  </w:t>
      </w:r>
      <w:r>
        <w:rPr>
          <w:rFonts w:hint="eastAsia" w:ascii="宋体" w:hAnsi="宋体"/>
          <w:szCs w:val="21"/>
        </w:rPr>
        <w:t>本工程需要按照合同约定进行中间验收。进行中间验收的部位</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18.9.2  </w:t>
      </w:r>
      <w:r>
        <w:rPr>
          <w:rFonts w:hint="eastAsia" w:ascii="宋体" w:hAnsi="宋体"/>
          <w:szCs w:val="21"/>
        </w:rPr>
        <w:t>当工程进度达到第</w:t>
      </w:r>
      <w:r>
        <w:rPr>
          <w:rFonts w:ascii="宋体" w:hAnsi="宋体"/>
          <w:szCs w:val="21"/>
        </w:rPr>
        <w:t>18.9.1</w:t>
      </w:r>
      <w:r>
        <w:rPr>
          <w:rFonts w:hint="eastAsia" w:ascii="宋体" w:hAnsi="宋体"/>
          <w:szCs w:val="21"/>
        </w:rPr>
        <w:t>项约定的中间验收部位时，承包人应当进行自检，并在中间验收前</w:t>
      </w:r>
      <w:r>
        <w:rPr>
          <w:rFonts w:ascii="宋体" w:hAnsi="宋体"/>
          <w:szCs w:val="21"/>
        </w:rPr>
        <w:t>48</w:t>
      </w:r>
      <w:r>
        <w:rPr>
          <w:rFonts w:hint="eastAsia" w:ascii="宋体" w:hAnsi="宋体"/>
          <w:szCs w:val="21"/>
        </w:rPr>
        <w:t>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18.9.3  </w:t>
      </w:r>
      <w:r>
        <w:rPr>
          <w:rFonts w:hint="eastAsia" w:ascii="宋体" w:hAnsi="宋体"/>
          <w:szCs w:val="21"/>
        </w:rPr>
        <w:t>监理人不能按时进行验收的，应在验收前至少</w:t>
      </w:r>
      <w:r>
        <w:rPr>
          <w:rFonts w:ascii="宋体" w:hAnsi="宋体"/>
          <w:szCs w:val="21"/>
        </w:rPr>
        <w:t>24</w:t>
      </w:r>
      <w:r>
        <w:rPr>
          <w:rFonts w:hint="eastAsia" w:ascii="宋体" w:hAnsi="宋体"/>
          <w:szCs w:val="21"/>
        </w:rPr>
        <w:t>小时以书面形式向承包人提出延期要求，但延期不能超过</w:t>
      </w:r>
      <w:r>
        <w:rPr>
          <w:rFonts w:ascii="宋体" w:hAnsi="宋体"/>
          <w:szCs w:val="21"/>
        </w:rPr>
        <w:t>48</w:t>
      </w:r>
      <w:r>
        <w:rPr>
          <w:rFonts w:hint="eastAsia" w:ascii="宋体" w:hAnsi="宋体"/>
          <w:szCs w:val="21"/>
        </w:rPr>
        <w:t>小时。监理人未能按本款约定的时限提出延期要求，又未按期进行验收的，承包人可自行组织验收，监理人必须认同验收记录。</w:t>
      </w:r>
    </w:p>
    <w:p>
      <w:pPr>
        <w:spacing w:line="360" w:lineRule="auto"/>
        <w:ind w:firstLine="420" w:firstLineChars="200"/>
        <w:rPr>
          <w:rFonts w:ascii="宋体"/>
          <w:szCs w:val="21"/>
        </w:rPr>
      </w:pPr>
      <w:r>
        <w:rPr>
          <w:rFonts w:hint="eastAsia" w:ascii="宋体" w:hAnsi="宋体"/>
          <w:szCs w:val="21"/>
        </w:rPr>
        <w:t>经监理人验收后工程质量符合约定的验收标准，但验收</w:t>
      </w:r>
      <w:r>
        <w:rPr>
          <w:rFonts w:ascii="宋体" w:hAnsi="宋体"/>
          <w:szCs w:val="21"/>
        </w:rPr>
        <w:t>24</w:t>
      </w:r>
      <w:r>
        <w:rPr>
          <w:rFonts w:hint="eastAsia" w:ascii="宋体" w:hAnsi="宋体"/>
          <w:szCs w:val="21"/>
        </w:rPr>
        <w:t>小时后监理人仍不在验收记录上签字的，视为监理人已经认可验收记录，承包人可继续施工。</w:t>
      </w:r>
    </w:p>
    <w:p>
      <w:pPr>
        <w:pStyle w:val="144"/>
        <w:spacing w:before="120" w:after="120"/>
      </w:pPr>
      <w:bookmarkStart w:id="2890" w:name="_Toc489279984"/>
      <w:bookmarkStart w:id="2891" w:name="_Toc483668202"/>
      <w:bookmarkStart w:id="2892" w:name="_Toc486580173"/>
      <w:bookmarkStart w:id="2893" w:name="_Toc338944827"/>
      <w:bookmarkStart w:id="2894" w:name="_Toc480487028"/>
      <w:bookmarkStart w:id="2895" w:name="_Toc342296385"/>
      <w:bookmarkStart w:id="2896" w:name="_Toc490222618"/>
      <w:bookmarkStart w:id="2897" w:name="_Toc480486856"/>
      <w:bookmarkStart w:id="2898" w:name="_Toc117350542"/>
      <w:r>
        <w:t>19.</w:t>
      </w:r>
      <w:r>
        <w:rPr>
          <w:rFonts w:hint="eastAsia"/>
        </w:rPr>
        <w:t>缺陷责任与保修责任</w:t>
      </w:r>
      <w:bookmarkEnd w:id="2890"/>
      <w:bookmarkEnd w:id="2891"/>
      <w:bookmarkEnd w:id="2892"/>
      <w:bookmarkEnd w:id="2893"/>
      <w:bookmarkEnd w:id="2894"/>
      <w:bookmarkEnd w:id="2895"/>
      <w:bookmarkEnd w:id="2896"/>
      <w:bookmarkEnd w:id="2897"/>
      <w:bookmarkEnd w:id="2898"/>
    </w:p>
    <w:p>
      <w:pPr>
        <w:pStyle w:val="155"/>
        <w:spacing w:before="120" w:after="120"/>
      </w:pPr>
      <w:bookmarkStart w:id="2899" w:name="_Toc152042514"/>
      <w:bookmarkStart w:id="2900" w:name="_Toc338944828"/>
      <w:bookmarkStart w:id="2901" w:name="_Toc144974706"/>
      <w:bookmarkStart w:id="2902" w:name="_Toc483668203"/>
      <w:bookmarkStart w:id="2903" w:name="_Toc490222619"/>
      <w:bookmarkStart w:id="2904" w:name="_Toc179632753"/>
      <w:bookmarkStart w:id="2905" w:name="_Toc480486857"/>
      <w:bookmarkStart w:id="2906" w:name="_Toc480487029"/>
      <w:bookmarkStart w:id="2907" w:name="_Toc486580174"/>
      <w:bookmarkStart w:id="2908" w:name="_Toc342296386"/>
      <w:bookmarkStart w:id="2909" w:name="_Toc152045735"/>
      <w:bookmarkStart w:id="2910" w:name="_Toc489279985"/>
      <w:bookmarkStart w:id="2911" w:name="_Toc117350543"/>
      <w:r>
        <w:t xml:space="preserve">19.1  </w:t>
      </w:r>
      <w:r>
        <w:rPr>
          <w:rFonts w:hint="eastAsia"/>
        </w:rPr>
        <w:t>缺陷责任期的起算时间</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pPr>
        <w:spacing w:line="360" w:lineRule="auto"/>
        <w:ind w:firstLine="420" w:firstLineChars="200"/>
        <w:rPr>
          <w:rFonts w:ascii="宋体"/>
          <w:szCs w:val="21"/>
        </w:rPr>
      </w:pPr>
      <w:r>
        <w:rPr>
          <w:rFonts w:hint="eastAsia" w:ascii="宋体" w:hAnsi="宋体"/>
          <w:szCs w:val="21"/>
        </w:rPr>
        <w:t>缺陷责任期自实际竣工日期起计算。在全部工程竣工验收前，已经发包人提前验收的单位工程，其缺陷责任期的起算日期相应提前。</w:t>
      </w:r>
    </w:p>
    <w:p>
      <w:pPr>
        <w:pStyle w:val="155"/>
        <w:spacing w:before="120" w:after="120"/>
      </w:pPr>
      <w:bookmarkStart w:id="2912" w:name="_Toc342296387"/>
      <w:bookmarkStart w:id="2913" w:name="_Toc480487030"/>
      <w:bookmarkStart w:id="2914" w:name="_Toc489279986"/>
      <w:bookmarkStart w:id="2915" w:name="_Toc480486858"/>
      <w:bookmarkStart w:id="2916" w:name="_Toc144974707"/>
      <w:bookmarkStart w:id="2917" w:name="_Toc152045736"/>
      <w:bookmarkStart w:id="2918" w:name="_Toc152042515"/>
      <w:bookmarkStart w:id="2919" w:name="_Toc179632754"/>
      <w:bookmarkStart w:id="2920" w:name="_Toc338944829"/>
      <w:bookmarkStart w:id="2921" w:name="_Toc483668204"/>
      <w:bookmarkStart w:id="2922" w:name="_Toc490222620"/>
      <w:bookmarkStart w:id="2923" w:name="_Toc486580175"/>
      <w:bookmarkStart w:id="2924" w:name="_Toc117350544"/>
      <w:r>
        <w:t xml:space="preserve">19.2  </w:t>
      </w:r>
      <w:r>
        <w:rPr>
          <w:rFonts w:hint="eastAsia"/>
        </w:rPr>
        <w:t>缺陷责任</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pPr>
        <w:spacing w:line="360" w:lineRule="auto"/>
        <w:ind w:firstLine="420" w:firstLineChars="200"/>
        <w:rPr>
          <w:rFonts w:ascii="宋体"/>
          <w:szCs w:val="21"/>
        </w:rPr>
      </w:pPr>
      <w:r>
        <w:rPr>
          <w:rFonts w:ascii="宋体" w:hAnsi="宋体"/>
          <w:szCs w:val="21"/>
        </w:rPr>
        <w:t xml:space="preserve">19.2.1  </w:t>
      </w:r>
      <w:r>
        <w:rPr>
          <w:rFonts w:hint="eastAsia" w:ascii="宋体" w:hAnsi="宋体"/>
          <w:szCs w:val="21"/>
        </w:rPr>
        <w:t>承包人应在缺陷责任期内对已交付使用的工程承担缺陷责任。</w:t>
      </w:r>
    </w:p>
    <w:p>
      <w:pPr>
        <w:spacing w:line="360" w:lineRule="auto"/>
        <w:ind w:firstLine="420" w:firstLineChars="200"/>
        <w:rPr>
          <w:rFonts w:ascii="宋体"/>
          <w:szCs w:val="21"/>
        </w:rPr>
      </w:pPr>
      <w:r>
        <w:rPr>
          <w:rFonts w:ascii="宋体" w:hAnsi="宋体"/>
          <w:szCs w:val="21"/>
        </w:rPr>
        <w:t xml:space="preserve">19.2.2  </w:t>
      </w:r>
      <w:r>
        <w:rPr>
          <w:rFonts w:hint="eastAsia" w:ascii="宋体" w:hAnsi="宋体"/>
          <w:szCs w:val="21"/>
        </w:rPr>
        <w:t>缺陷责任期内，发包人对已接收使用的工程负责日常维护工作。发包人在使用过程中，发现已接收的工程存在新的缺陷或已修复的缺陷部位或部件又遭损坏的，承包人应负责修复，直至检验合格为止。</w:t>
      </w:r>
    </w:p>
    <w:p>
      <w:pPr>
        <w:spacing w:line="360" w:lineRule="auto"/>
        <w:ind w:firstLine="420" w:firstLineChars="200"/>
        <w:rPr>
          <w:rFonts w:ascii="宋体"/>
          <w:szCs w:val="21"/>
        </w:rPr>
      </w:pPr>
      <w:r>
        <w:rPr>
          <w:rFonts w:ascii="宋体" w:hAnsi="宋体"/>
          <w:szCs w:val="21"/>
        </w:rPr>
        <w:t xml:space="preserve">19.2.3  </w:t>
      </w:r>
      <w:r>
        <w:rPr>
          <w:rFonts w:hint="eastAsia" w:ascii="宋体" w:hAnsi="宋体"/>
          <w:szCs w:val="21"/>
        </w:rPr>
        <w:t>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rFonts w:ascii="宋体"/>
          <w:szCs w:val="21"/>
        </w:rPr>
      </w:pPr>
      <w:r>
        <w:rPr>
          <w:rFonts w:ascii="宋体" w:hAnsi="宋体"/>
          <w:szCs w:val="21"/>
        </w:rPr>
        <w:t xml:space="preserve">19.2.4  </w:t>
      </w:r>
      <w:r>
        <w:rPr>
          <w:rFonts w:hint="eastAsia" w:ascii="宋体" w:hAnsi="宋体"/>
          <w:szCs w:val="21"/>
        </w:rPr>
        <w:t>承包人不能在合理时间内修复缺陷的，发包人可自行修复或委托其他人修复，所需费用和利润的承担，按第</w:t>
      </w:r>
      <w:r>
        <w:rPr>
          <w:rFonts w:ascii="宋体" w:hAnsi="宋体"/>
          <w:szCs w:val="21"/>
        </w:rPr>
        <w:t>19.2.3</w:t>
      </w:r>
      <w:r>
        <w:rPr>
          <w:rFonts w:hint="eastAsia" w:ascii="宋体" w:hAnsi="宋体"/>
          <w:szCs w:val="21"/>
        </w:rPr>
        <w:t>项约定办理。</w:t>
      </w:r>
    </w:p>
    <w:p>
      <w:pPr>
        <w:pStyle w:val="155"/>
        <w:spacing w:before="120" w:after="120"/>
      </w:pPr>
      <w:bookmarkStart w:id="2925" w:name="_Toc342296388"/>
      <w:bookmarkStart w:id="2926" w:name="_Toc338944830"/>
      <w:bookmarkStart w:id="2927" w:name="_Toc179632755"/>
      <w:bookmarkStart w:id="2928" w:name="_Toc144974708"/>
      <w:bookmarkStart w:id="2929" w:name="_Toc480486859"/>
      <w:bookmarkStart w:id="2930" w:name="_Toc483668205"/>
      <w:bookmarkStart w:id="2931" w:name="_Toc480487031"/>
      <w:bookmarkStart w:id="2932" w:name="_Toc152042516"/>
      <w:bookmarkStart w:id="2933" w:name="_Toc486580176"/>
      <w:bookmarkStart w:id="2934" w:name="_Toc489279987"/>
      <w:bookmarkStart w:id="2935" w:name="_Toc152045737"/>
      <w:bookmarkStart w:id="2936" w:name="_Toc490222621"/>
      <w:bookmarkStart w:id="2937" w:name="_Toc117350545"/>
      <w:r>
        <w:t xml:space="preserve">19.3  </w:t>
      </w:r>
      <w:r>
        <w:rPr>
          <w:rFonts w:hint="eastAsia"/>
        </w:rPr>
        <w:t>缺陷责任期的延长</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pPr>
        <w:spacing w:line="360" w:lineRule="auto"/>
        <w:ind w:firstLine="420" w:firstLineChars="200"/>
        <w:rPr>
          <w:rFonts w:ascii="宋体"/>
          <w:szCs w:val="21"/>
        </w:rPr>
      </w:pPr>
      <w:r>
        <w:rPr>
          <w:rFonts w:hint="eastAsia" w:ascii="宋体" w:hAnsi="宋体"/>
          <w:szCs w:val="21"/>
        </w:rPr>
        <w:t>由于承包人原因造成某项缺陷或损坏，使某项工程或工程设备不能按原定目标使用，需要再次检查、检验和修复的，发包人有权要求承包人相应延长缺陷责任期，但缺陷责任期最长不超过</w:t>
      </w:r>
      <w:r>
        <w:rPr>
          <w:rFonts w:ascii="宋体" w:hAnsi="宋体"/>
          <w:szCs w:val="21"/>
        </w:rPr>
        <w:t>2</w:t>
      </w:r>
      <w:r>
        <w:rPr>
          <w:rFonts w:hint="eastAsia" w:ascii="宋体" w:hAnsi="宋体"/>
          <w:szCs w:val="21"/>
        </w:rPr>
        <w:t>年。</w:t>
      </w:r>
    </w:p>
    <w:p>
      <w:pPr>
        <w:pStyle w:val="155"/>
        <w:spacing w:before="120" w:after="120"/>
      </w:pPr>
      <w:bookmarkStart w:id="2938" w:name="_Toc144974709"/>
      <w:bookmarkStart w:id="2939" w:name="_Toc179632756"/>
      <w:bookmarkStart w:id="2940" w:name="_Toc342296389"/>
      <w:bookmarkStart w:id="2941" w:name="_Toc480486860"/>
      <w:bookmarkStart w:id="2942" w:name="_Toc490222622"/>
      <w:bookmarkStart w:id="2943" w:name="_Toc489279988"/>
      <w:bookmarkStart w:id="2944" w:name="_Toc486580177"/>
      <w:bookmarkStart w:id="2945" w:name="_Toc480487032"/>
      <w:bookmarkStart w:id="2946" w:name="_Toc152042517"/>
      <w:bookmarkStart w:id="2947" w:name="_Toc152045738"/>
      <w:bookmarkStart w:id="2948" w:name="_Toc483668206"/>
      <w:bookmarkStart w:id="2949" w:name="_Toc338944831"/>
      <w:bookmarkStart w:id="2950" w:name="_Toc117350546"/>
      <w:r>
        <w:t xml:space="preserve">19.4  </w:t>
      </w:r>
      <w:r>
        <w:rPr>
          <w:rFonts w:hint="eastAsia"/>
        </w:rPr>
        <w:t>进一步试验和试运行</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pPr>
        <w:spacing w:line="360" w:lineRule="auto"/>
        <w:ind w:firstLine="420" w:firstLineChars="200"/>
        <w:rPr>
          <w:rFonts w:ascii="宋体"/>
          <w:szCs w:val="21"/>
        </w:rPr>
      </w:pPr>
      <w:r>
        <w:rPr>
          <w:rFonts w:hint="eastAsia" w:ascii="宋体" w:hAnsi="宋体"/>
          <w:szCs w:val="21"/>
        </w:rPr>
        <w:t>任何一项缺陷或损坏修复后，经检查证明其影响了工程或工程设备的使用性能，承包人应重新进行合同约定的试验和试运行，试验和试运行的全部费用应由责任方承担。</w:t>
      </w:r>
    </w:p>
    <w:p>
      <w:pPr>
        <w:pStyle w:val="155"/>
        <w:spacing w:before="120" w:after="120"/>
      </w:pPr>
      <w:bookmarkStart w:id="2951" w:name="_Toc144974710"/>
      <w:bookmarkStart w:id="2952" w:name="_Toc489279989"/>
      <w:bookmarkStart w:id="2953" w:name="_Toc152042518"/>
      <w:bookmarkStart w:id="2954" w:name="_Toc179632757"/>
      <w:bookmarkStart w:id="2955" w:name="_Toc486580178"/>
      <w:bookmarkStart w:id="2956" w:name="_Toc483668207"/>
      <w:bookmarkStart w:id="2957" w:name="_Toc490222623"/>
      <w:bookmarkStart w:id="2958" w:name="_Toc480487033"/>
      <w:bookmarkStart w:id="2959" w:name="_Toc342296390"/>
      <w:bookmarkStart w:id="2960" w:name="_Toc152045739"/>
      <w:bookmarkStart w:id="2961" w:name="_Toc480486861"/>
      <w:bookmarkStart w:id="2962" w:name="_Toc338944832"/>
      <w:bookmarkStart w:id="2963" w:name="_Toc117350547"/>
      <w:r>
        <w:t xml:space="preserve">19.5  </w:t>
      </w:r>
      <w:r>
        <w:rPr>
          <w:rFonts w:hint="eastAsia"/>
        </w:rPr>
        <w:t>承包人的进入权</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pPr>
        <w:spacing w:line="360" w:lineRule="auto"/>
        <w:ind w:firstLine="420" w:firstLineChars="200"/>
        <w:rPr>
          <w:rFonts w:ascii="宋体"/>
          <w:szCs w:val="21"/>
        </w:rPr>
      </w:pPr>
      <w:r>
        <w:rPr>
          <w:rFonts w:hint="eastAsia" w:ascii="宋体" w:hAnsi="宋体"/>
          <w:szCs w:val="21"/>
        </w:rPr>
        <w:t>缺陷责任期内承包人为缺陷修复工作需要，有权进入工程现场，但应遵守发包人的保安和保密规定。</w:t>
      </w:r>
    </w:p>
    <w:p>
      <w:pPr>
        <w:pStyle w:val="155"/>
        <w:spacing w:before="120" w:after="120"/>
      </w:pPr>
      <w:bookmarkStart w:id="2964" w:name="_Toc152042519"/>
      <w:bookmarkStart w:id="2965" w:name="_Toc490222624"/>
      <w:bookmarkStart w:id="2966" w:name="_Toc480487034"/>
      <w:bookmarkStart w:id="2967" w:name="_Toc179632758"/>
      <w:bookmarkStart w:id="2968" w:name="_Toc144974711"/>
      <w:bookmarkStart w:id="2969" w:name="_Toc480486862"/>
      <w:bookmarkStart w:id="2970" w:name="_Toc342296391"/>
      <w:bookmarkStart w:id="2971" w:name="_Toc338944833"/>
      <w:bookmarkStart w:id="2972" w:name="_Toc152045740"/>
      <w:bookmarkStart w:id="2973" w:name="_Toc486580179"/>
      <w:bookmarkStart w:id="2974" w:name="_Toc483668208"/>
      <w:bookmarkStart w:id="2975" w:name="_Toc489279990"/>
      <w:bookmarkStart w:id="2976" w:name="_Toc117350548"/>
      <w:r>
        <w:t xml:space="preserve">19.6  </w:t>
      </w:r>
      <w:r>
        <w:rPr>
          <w:rFonts w:hint="eastAsia"/>
        </w:rPr>
        <w:t>缺陷责任期终止证书</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pPr>
        <w:spacing w:line="360" w:lineRule="auto"/>
        <w:ind w:firstLine="420" w:firstLineChars="200"/>
        <w:rPr>
          <w:rFonts w:ascii="宋体"/>
          <w:szCs w:val="21"/>
        </w:rPr>
      </w:pPr>
      <w:r>
        <w:rPr>
          <w:rFonts w:hint="eastAsia" w:ascii="宋体" w:hAnsi="宋体"/>
          <w:szCs w:val="21"/>
        </w:rPr>
        <w:t>在第</w:t>
      </w:r>
      <w:r>
        <w:rPr>
          <w:rFonts w:ascii="宋体" w:hAnsi="宋体"/>
          <w:szCs w:val="21"/>
        </w:rPr>
        <w:t>1.1.4.5</w:t>
      </w:r>
      <w:r>
        <w:rPr>
          <w:rFonts w:hint="eastAsia" w:ascii="宋体" w:hAnsi="宋体"/>
          <w:szCs w:val="21"/>
        </w:rPr>
        <w:t>目约定的缺陷责任期，包括根据第</w:t>
      </w:r>
      <w:r>
        <w:rPr>
          <w:rFonts w:ascii="宋体" w:hAnsi="宋体"/>
          <w:szCs w:val="21"/>
        </w:rPr>
        <w:t>19.3</w:t>
      </w:r>
      <w:r>
        <w:rPr>
          <w:rFonts w:hint="eastAsia" w:ascii="宋体" w:hAnsi="宋体"/>
          <w:szCs w:val="21"/>
        </w:rPr>
        <w:t>款延长的期限终止后</w:t>
      </w:r>
      <w:r>
        <w:rPr>
          <w:rFonts w:ascii="宋体" w:hAnsi="宋体"/>
          <w:szCs w:val="21"/>
        </w:rPr>
        <w:t>14</w:t>
      </w:r>
      <w:r>
        <w:rPr>
          <w:rFonts w:hint="eastAsia" w:ascii="宋体" w:hAnsi="宋体"/>
          <w:szCs w:val="21"/>
        </w:rPr>
        <w:t>天内，由监理人向承包人出具经发包人签认的缺陷责任期终止证书，并退还剩余的质量保证金或退还保函。</w:t>
      </w:r>
    </w:p>
    <w:p>
      <w:pPr>
        <w:pStyle w:val="155"/>
        <w:spacing w:before="120" w:after="120"/>
      </w:pPr>
      <w:bookmarkStart w:id="2977" w:name="_Toc338944834"/>
      <w:bookmarkStart w:id="2978" w:name="_Toc480487035"/>
      <w:bookmarkStart w:id="2979" w:name="_Toc486580180"/>
      <w:bookmarkStart w:id="2980" w:name="_Toc480486863"/>
      <w:bookmarkStart w:id="2981" w:name="_Toc342296392"/>
      <w:bookmarkStart w:id="2982" w:name="_Toc483668209"/>
      <w:bookmarkStart w:id="2983" w:name="_Toc489279991"/>
      <w:bookmarkStart w:id="2984" w:name="_Toc490222625"/>
      <w:bookmarkStart w:id="2985" w:name="_Toc117350549"/>
      <w:r>
        <w:t xml:space="preserve">19.7  </w:t>
      </w:r>
      <w:r>
        <w:rPr>
          <w:rFonts w:hint="eastAsia"/>
        </w:rPr>
        <w:t>保修责任</w:t>
      </w:r>
      <w:bookmarkEnd w:id="2977"/>
      <w:bookmarkEnd w:id="2978"/>
      <w:bookmarkEnd w:id="2979"/>
      <w:bookmarkEnd w:id="2980"/>
      <w:bookmarkEnd w:id="2981"/>
      <w:bookmarkEnd w:id="2982"/>
      <w:bookmarkEnd w:id="2983"/>
      <w:bookmarkEnd w:id="2984"/>
      <w:bookmarkEnd w:id="2985"/>
    </w:p>
    <w:p>
      <w:pPr>
        <w:spacing w:line="360" w:lineRule="auto"/>
        <w:ind w:firstLine="420" w:firstLineChars="200"/>
        <w:rPr>
          <w:rFonts w:ascii="宋体"/>
          <w:szCs w:val="21"/>
        </w:rPr>
      </w:pPr>
      <w:r>
        <w:rPr>
          <w:rFonts w:ascii="宋体" w:hAnsi="宋体"/>
          <w:szCs w:val="21"/>
        </w:rPr>
        <w:t xml:space="preserve">19.7.1  </w:t>
      </w:r>
      <w:r>
        <w:rPr>
          <w:rFonts w:hint="eastAsia" w:ascii="宋体" w:hAnsi="宋体"/>
          <w:szCs w:val="21"/>
        </w:rPr>
        <w:t>合同当事人根据有关法律法规规定明确工程质量保修范围、期限和责任。保修期自实际竣工日期起计算。在全部工程竣工验收前，已经发包人提前验收的单位工程，其保修期的起算日期相应提前。工程质量保修范围、期限和责任</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19.7.2  </w:t>
      </w:r>
      <w:r>
        <w:rPr>
          <w:rFonts w:hint="eastAsia" w:ascii="宋体" w:hAnsi="宋体"/>
          <w:szCs w:val="21"/>
        </w:rPr>
        <w:t>质量保修书是竣工验收申请报告的组成内容。承包人应当按照有关法律法规规定和合同所附的格式出具质量保修书，质量保修书的主要内容应当与本款上述约定内容一致。承包人在递交合同条款第</w:t>
      </w:r>
      <w:r>
        <w:rPr>
          <w:rFonts w:ascii="宋体" w:hAnsi="宋体"/>
          <w:szCs w:val="21"/>
        </w:rPr>
        <w:t>18.2</w:t>
      </w:r>
      <w:r>
        <w:rPr>
          <w:rFonts w:hint="eastAsia" w:ascii="宋体" w:hAnsi="宋体"/>
          <w:szCs w:val="21"/>
        </w:rPr>
        <w:t>款约定的竣工验收报告的同时，将质量保修书一并报送监理人。</w:t>
      </w:r>
    </w:p>
    <w:p>
      <w:pPr>
        <w:pStyle w:val="144"/>
        <w:spacing w:before="120" w:after="120"/>
      </w:pPr>
      <w:bookmarkStart w:id="2986" w:name="_Toc480487036"/>
      <w:bookmarkStart w:id="2987" w:name="_Toc480486864"/>
      <w:bookmarkStart w:id="2988" w:name="_Toc483668210"/>
      <w:bookmarkStart w:id="2989" w:name="_Toc490222626"/>
      <w:bookmarkStart w:id="2990" w:name="_Toc338944835"/>
      <w:bookmarkStart w:id="2991" w:name="_Toc486580181"/>
      <w:bookmarkStart w:id="2992" w:name="_Toc342296393"/>
      <w:bookmarkStart w:id="2993" w:name="_Toc489279992"/>
      <w:bookmarkStart w:id="2994" w:name="_Toc117350550"/>
      <w:r>
        <w:t>20.</w:t>
      </w:r>
      <w:r>
        <w:rPr>
          <w:rFonts w:hint="eastAsia"/>
        </w:rPr>
        <w:t>保险</w:t>
      </w:r>
      <w:bookmarkEnd w:id="2986"/>
      <w:bookmarkEnd w:id="2987"/>
      <w:bookmarkEnd w:id="2988"/>
      <w:bookmarkEnd w:id="2989"/>
      <w:bookmarkEnd w:id="2990"/>
      <w:bookmarkEnd w:id="2991"/>
      <w:bookmarkEnd w:id="2992"/>
      <w:bookmarkEnd w:id="2993"/>
      <w:bookmarkEnd w:id="2994"/>
    </w:p>
    <w:p>
      <w:pPr>
        <w:pStyle w:val="155"/>
        <w:spacing w:before="120" w:after="120"/>
      </w:pPr>
      <w:bookmarkStart w:id="2995" w:name="_Toc480487037"/>
      <w:bookmarkStart w:id="2996" w:name="_Toc480486865"/>
      <w:bookmarkStart w:id="2997" w:name="_Toc342296394"/>
      <w:bookmarkStart w:id="2998" w:name="_Toc486580182"/>
      <w:bookmarkStart w:id="2999" w:name="_Toc489279993"/>
      <w:bookmarkStart w:id="3000" w:name="_Toc483668211"/>
      <w:bookmarkStart w:id="3001" w:name="_Toc338944836"/>
      <w:bookmarkStart w:id="3002" w:name="_Toc490222627"/>
      <w:bookmarkStart w:id="3003" w:name="_Toc117350551"/>
      <w:r>
        <w:t xml:space="preserve">20.1  </w:t>
      </w:r>
      <w:r>
        <w:rPr>
          <w:rFonts w:hint="eastAsia"/>
        </w:rPr>
        <w:t>工程保险</w:t>
      </w:r>
      <w:bookmarkEnd w:id="2995"/>
      <w:bookmarkEnd w:id="2996"/>
      <w:bookmarkEnd w:id="2997"/>
      <w:bookmarkEnd w:id="2998"/>
      <w:bookmarkEnd w:id="2999"/>
      <w:bookmarkEnd w:id="3000"/>
      <w:bookmarkEnd w:id="3001"/>
      <w:bookmarkEnd w:id="3002"/>
      <w:bookmarkEnd w:id="3003"/>
    </w:p>
    <w:p>
      <w:pPr>
        <w:spacing w:line="360" w:lineRule="auto"/>
        <w:ind w:firstLine="420" w:firstLineChars="200"/>
        <w:rPr>
          <w:rFonts w:ascii="宋体"/>
          <w:szCs w:val="21"/>
        </w:rPr>
      </w:pPr>
      <w:r>
        <w:rPr>
          <w:rFonts w:hint="eastAsia" w:ascii="宋体" w:hAnsi="宋体"/>
          <w:szCs w:val="21"/>
        </w:rPr>
        <w:t>承包人应以发包人和承包人的共同名义向双方同意的保险人投保建筑工程一切险、安装工程一切险。其具体的投保内容、保险金额、保险费率、保险期限等有关内容</w:t>
      </w:r>
      <w:r>
        <w:rPr>
          <w:rFonts w:hint="eastAsia" w:ascii="黑体" w:hAnsi="黑体" w:eastAsia="黑体"/>
          <w:szCs w:val="21"/>
        </w:rPr>
        <w:t>见合同条款专用部分</w:t>
      </w:r>
      <w:r>
        <w:rPr>
          <w:rFonts w:hint="eastAsia" w:ascii="宋体" w:hAnsi="宋体"/>
          <w:szCs w:val="21"/>
        </w:rPr>
        <w:t>。</w:t>
      </w:r>
    </w:p>
    <w:p>
      <w:pPr>
        <w:pStyle w:val="155"/>
        <w:spacing w:before="120" w:after="120"/>
      </w:pPr>
      <w:bookmarkStart w:id="3004" w:name="_Toc483668212"/>
      <w:bookmarkStart w:id="3005" w:name="_Toc480487038"/>
      <w:bookmarkStart w:id="3006" w:name="_Toc338944837"/>
      <w:bookmarkStart w:id="3007" w:name="_Toc480486866"/>
      <w:bookmarkStart w:id="3008" w:name="_Toc489279994"/>
      <w:bookmarkStart w:id="3009" w:name="_Toc486580183"/>
      <w:bookmarkStart w:id="3010" w:name="_Toc490222628"/>
      <w:bookmarkStart w:id="3011" w:name="_Toc342296395"/>
      <w:bookmarkStart w:id="3012" w:name="_Toc117350552"/>
      <w:r>
        <w:t xml:space="preserve">20.2  </w:t>
      </w:r>
      <w:r>
        <w:rPr>
          <w:rFonts w:hint="eastAsia"/>
        </w:rPr>
        <w:t>人员工伤事故的保险</w:t>
      </w:r>
      <w:bookmarkEnd w:id="3004"/>
      <w:bookmarkEnd w:id="3005"/>
      <w:bookmarkEnd w:id="3006"/>
      <w:bookmarkEnd w:id="3007"/>
      <w:bookmarkEnd w:id="3008"/>
      <w:bookmarkEnd w:id="3009"/>
      <w:bookmarkEnd w:id="3010"/>
      <w:bookmarkEnd w:id="3011"/>
      <w:bookmarkEnd w:id="3012"/>
    </w:p>
    <w:p>
      <w:pPr>
        <w:spacing w:line="360" w:lineRule="auto"/>
        <w:ind w:firstLine="420" w:firstLineChars="200"/>
        <w:rPr>
          <w:rFonts w:ascii="宋体"/>
          <w:szCs w:val="21"/>
        </w:rPr>
      </w:pPr>
      <w:r>
        <w:rPr>
          <w:rFonts w:ascii="宋体" w:hAnsi="宋体"/>
          <w:szCs w:val="21"/>
        </w:rPr>
        <w:t xml:space="preserve">20.2.1  </w:t>
      </w:r>
      <w:r>
        <w:rPr>
          <w:rFonts w:hint="eastAsia" w:ascii="宋体" w:hAnsi="宋体"/>
          <w:szCs w:val="21"/>
        </w:rPr>
        <w:t>承包人员工伤事故的保险</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应依照有关法律法规规定参加工伤保险，为其履行合同所雇佣的全部人员（包括专业分包人、劳务分包人使用的人员），在合同工程开工前应当一次性缴纳工伤保险费。承包人在工程分包计费时，不得再向分包人另行计提、划拨工伤保险费。</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）承包人工伤事故保险期限自合同工程开工之日起至合同终止之日止。</w:t>
      </w:r>
    </w:p>
    <w:p>
      <w:pPr>
        <w:spacing w:line="360" w:lineRule="auto"/>
        <w:ind w:firstLine="420" w:firstLineChars="200"/>
        <w:rPr>
          <w:rFonts w:ascii="宋体"/>
          <w:szCs w:val="21"/>
        </w:rPr>
      </w:pPr>
      <w:r>
        <w:rPr>
          <w:rFonts w:ascii="宋体" w:hAnsi="宋体"/>
          <w:szCs w:val="21"/>
        </w:rPr>
        <w:t xml:space="preserve">20.2.2  </w:t>
      </w:r>
      <w:r>
        <w:rPr>
          <w:rFonts w:hint="eastAsia" w:ascii="宋体" w:hAnsi="宋体"/>
          <w:szCs w:val="21"/>
        </w:rPr>
        <w:t>发包人员工伤事故的保险</w:t>
      </w:r>
    </w:p>
    <w:p>
      <w:pPr>
        <w:spacing w:line="360" w:lineRule="auto"/>
        <w:ind w:firstLine="420" w:firstLineChars="200"/>
        <w:rPr>
          <w:rFonts w:ascii="宋体"/>
          <w:szCs w:val="21"/>
        </w:rPr>
      </w:pPr>
      <w:r>
        <w:rPr>
          <w:rFonts w:hint="eastAsia" w:ascii="宋体" w:hAnsi="宋体"/>
          <w:szCs w:val="21"/>
        </w:rPr>
        <w:t>发包人应依照有关法律法规规定参加工伤保险，为其现场机构雇佣的全部人员，缴纳工伤保险费，并要求其监理人也进行此项保险。</w:t>
      </w:r>
    </w:p>
    <w:p>
      <w:pPr>
        <w:pStyle w:val="155"/>
        <w:spacing w:before="120" w:after="120"/>
      </w:pPr>
      <w:bookmarkStart w:id="3013" w:name="_Toc179632763"/>
      <w:bookmarkStart w:id="3014" w:name="_Toc480487039"/>
      <w:bookmarkStart w:id="3015" w:name="_Toc152045745"/>
      <w:bookmarkStart w:id="3016" w:name="_Toc486580184"/>
      <w:bookmarkStart w:id="3017" w:name="_Toc152042524"/>
      <w:bookmarkStart w:id="3018" w:name="_Toc489279995"/>
      <w:bookmarkStart w:id="3019" w:name="_Toc338944838"/>
      <w:bookmarkStart w:id="3020" w:name="_Toc342296396"/>
      <w:bookmarkStart w:id="3021" w:name="_Toc144974716"/>
      <w:bookmarkStart w:id="3022" w:name="_Toc490222629"/>
      <w:bookmarkStart w:id="3023" w:name="_Toc480486867"/>
      <w:bookmarkStart w:id="3024" w:name="_Toc483668213"/>
      <w:bookmarkStart w:id="3025" w:name="_Toc117350553"/>
      <w:r>
        <w:t xml:space="preserve">20.3  </w:t>
      </w:r>
      <w:r>
        <w:rPr>
          <w:rFonts w:hint="eastAsia"/>
        </w:rPr>
        <w:t>人身意外伤害险</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pPr>
        <w:spacing w:line="360" w:lineRule="auto"/>
        <w:ind w:firstLine="420" w:firstLineChars="200"/>
        <w:rPr>
          <w:rFonts w:ascii="宋体"/>
          <w:szCs w:val="21"/>
        </w:rPr>
      </w:pPr>
      <w:r>
        <w:rPr>
          <w:rFonts w:ascii="宋体" w:hAnsi="宋体"/>
          <w:szCs w:val="21"/>
        </w:rPr>
        <w:t xml:space="preserve">20.3.1  </w:t>
      </w:r>
      <w:r>
        <w:rPr>
          <w:rFonts w:hint="eastAsia" w:ascii="宋体" w:hAnsi="宋体"/>
          <w:szCs w:val="21"/>
        </w:rPr>
        <w:t>发包人应在整个施工期间为其现场机构雇用的全部人员，投保人身意外伤害险，缴纳保险费，并要求其监理人也进行此项保险。</w:t>
      </w:r>
    </w:p>
    <w:p>
      <w:pPr>
        <w:spacing w:line="360" w:lineRule="auto"/>
        <w:ind w:firstLine="420" w:firstLineChars="200"/>
        <w:rPr>
          <w:rFonts w:ascii="宋体"/>
          <w:szCs w:val="21"/>
        </w:rPr>
      </w:pPr>
      <w:r>
        <w:rPr>
          <w:rFonts w:ascii="宋体" w:hAnsi="宋体"/>
          <w:szCs w:val="21"/>
        </w:rPr>
        <w:t xml:space="preserve">20.3.2  </w:t>
      </w:r>
      <w:r>
        <w:rPr>
          <w:rFonts w:hint="eastAsia" w:ascii="宋体" w:hAnsi="宋体"/>
          <w:szCs w:val="21"/>
        </w:rPr>
        <w:t>承包人应在整个施工期间为其现场机构雇用的全部人员，投保人身意外伤害险，缴纳保险费，并要求其分包人也进行此项保险。</w:t>
      </w:r>
    </w:p>
    <w:p>
      <w:pPr>
        <w:pStyle w:val="155"/>
        <w:spacing w:before="120" w:after="120"/>
      </w:pPr>
      <w:bookmarkStart w:id="3026" w:name="_Toc480487040"/>
      <w:bookmarkStart w:id="3027" w:name="_Toc489279996"/>
      <w:bookmarkStart w:id="3028" w:name="_Toc342296397"/>
      <w:bookmarkStart w:id="3029" w:name="_Toc486580185"/>
      <w:bookmarkStart w:id="3030" w:name="_Toc483668214"/>
      <w:bookmarkStart w:id="3031" w:name="_Toc338944839"/>
      <w:bookmarkStart w:id="3032" w:name="_Toc490222630"/>
      <w:bookmarkStart w:id="3033" w:name="_Toc480486868"/>
      <w:bookmarkStart w:id="3034" w:name="_Toc117350554"/>
      <w:r>
        <w:t xml:space="preserve">20.4  </w:t>
      </w:r>
      <w:r>
        <w:rPr>
          <w:rFonts w:hint="eastAsia"/>
        </w:rPr>
        <w:t>第三者责任险</w:t>
      </w:r>
      <w:bookmarkEnd w:id="3026"/>
      <w:bookmarkEnd w:id="3027"/>
      <w:bookmarkEnd w:id="3028"/>
      <w:bookmarkEnd w:id="3029"/>
      <w:bookmarkEnd w:id="3030"/>
      <w:bookmarkEnd w:id="3031"/>
      <w:bookmarkEnd w:id="3032"/>
      <w:bookmarkEnd w:id="3033"/>
      <w:bookmarkEnd w:id="3034"/>
    </w:p>
    <w:p>
      <w:pPr>
        <w:spacing w:line="360" w:lineRule="auto"/>
        <w:ind w:firstLine="420" w:firstLineChars="200"/>
        <w:rPr>
          <w:rFonts w:ascii="宋体"/>
          <w:szCs w:val="21"/>
        </w:rPr>
      </w:pPr>
      <w:r>
        <w:rPr>
          <w:rFonts w:ascii="宋体" w:hAnsi="宋体"/>
          <w:szCs w:val="21"/>
        </w:rPr>
        <w:t xml:space="preserve">20.4.1  </w:t>
      </w:r>
      <w:r>
        <w:rPr>
          <w:rFonts w:hint="eastAsia" w:ascii="宋体" w:hAnsi="宋体"/>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rFonts w:ascii="宋体"/>
          <w:szCs w:val="21"/>
        </w:rPr>
      </w:pPr>
      <w:r>
        <w:rPr>
          <w:rFonts w:ascii="宋体" w:hAnsi="宋体"/>
          <w:szCs w:val="21"/>
        </w:rPr>
        <w:t xml:space="preserve">20.4.2  </w:t>
      </w:r>
      <w:r>
        <w:rPr>
          <w:rFonts w:hint="eastAsia" w:ascii="宋体" w:hAnsi="宋体"/>
          <w:szCs w:val="21"/>
        </w:rPr>
        <w:t>在缺陷责任期终止证书颁发前，承包人应以承包人和发包人的共同名义，投保第</w:t>
      </w:r>
      <w:r>
        <w:rPr>
          <w:rFonts w:ascii="宋体" w:hAnsi="宋体"/>
          <w:szCs w:val="21"/>
        </w:rPr>
        <w:t>20.4.1</w:t>
      </w:r>
      <w:r>
        <w:rPr>
          <w:rFonts w:hint="eastAsia" w:ascii="宋体" w:hAnsi="宋体"/>
          <w:szCs w:val="21"/>
        </w:rPr>
        <w:t>项约定的第三者责任险，其保险费率、保险金额、保险费承担人等有关内容</w:t>
      </w:r>
      <w:r>
        <w:rPr>
          <w:rFonts w:hint="eastAsia" w:ascii="黑体" w:hAnsi="黑体" w:eastAsia="黑体"/>
          <w:szCs w:val="21"/>
        </w:rPr>
        <w:t>见合同条款专用部分</w:t>
      </w:r>
      <w:r>
        <w:rPr>
          <w:rFonts w:hint="eastAsia" w:ascii="宋体" w:hAnsi="宋体"/>
          <w:szCs w:val="21"/>
        </w:rPr>
        <w:t>。</w:t>
      </w:r>
    </w:p>
    <w:p>
      <w:pPr>
        <w:pStyle w:val="155"/>
        <w:spacing w:before="120" w:after="120"/>
      </w:pPr>
      <w:bookmarkStart w:id="3035" w:name="_Toc338944840"/>
      <w:bookmarkStart w:id="3036" w:name="_Toc490222631"/>
      <w:bookmarkStart w:id="3037" w:name="_Toc483668215"/>
      <w:bookmarkStart w:id="3038" w:name="_Toc480487041"/>
      <w:bookmarkStart w:id="3039" w:name="_Toc342296398"/>
      <w:bookmarkStart w:id="3040" w:name="_Toc480486869"/>
      <w:bookmarkStart w:id="3041" w:name="_Toc486580186"/>
      <w:bookmarkStart w:id="3042" w:name="_Toc489279997"/>
      <w:bookmarkStart w:id="3043" w:name="_Toc117350555"/>
      <w:r>
        <w:t xml:space="preserve">20.5  </w:t>
      </w:r>
      <w:r>
        <w:rPr>
          <w:rFonts w:hint="eastAsia"/>
        </w:rPr>
        <w:t>其他保险</w:t>
      </w:r>
      <w:bookmarkEnd w:id="3035"/>
      <w:bookmarkEnd w:id="3036"/>
      <w:bookmarkEnd w:id="3037"/>
      <w:bookmarkEnd w:id="3038"/>
      <w:bookmarkEnd w:id="3039"/>
      <w:bookmarkEnd w:id="3040"/>
      <w:bookmarkEnd w:id="3041"/>
      <w:bookmarkEnd w:id="3042"/>
      <w:bookmarkEnd w:id="3043"/>
    </w:p>
    <w:p>
      <w:pPr>
        <w:spacing w:line="360" w:lineRule="auto"/>
        <w:ind w:firstLine="420" w:firstLineChars="200"/>
        <w:rPr>
          <w:rFonts w:ascii="宋体"/>
          <w:szCs w:val="21"/>
        </w:rPr>
      </w:pPr>
      <w:r>
        <w:rPr>
          <w:rFonts w:hint="eastAsia" w:ascii="宋体" w:hAnsi="宋体"/>
          <w:szCs w:val="21"/>
        </w:rPr>
        <w:t>承包人应为其施工设备、进场的材料和工程设备等办理保险。办理保险的险种</w:t>
      </w:r>
      <w:r>
        <w:rPr>
          <w:rFonts w:hint="eastAsia" w:ascii="黑体" w:hAnsi="黑体" w:eastAsia="黑体"/>
          <w:szCs w:val="21"/>
        </w:rPr>
        <w:t>见合同条款专用部分</w:t>
      </w:r>
      <w:r>
        <w:rPr>
          <w:rFonts w:hint="eastAsia" w:ascii="宋体" w:hAnsi="宋体"/>
          <w:szCs w:val="21"/>
        </w:rPr>
        <w:t>。</w:t>
      </w:r>
    </w:p>
    <w:p>
      <w:pPr>
        <w:pStyle w:val="155"/>
        <w:spacing w:before="120" w:after="120"/>
      </w:pPr>
      <w:bookmarkStart w:id="3044" w:name="_Toc490222632"/>
      <w:bookmarkStart w:id="3045" w:name="_Toc480487042"/>
      <w:bookmarkStart w:id="3046" w:name="_Toc338944841"/>
      <w:bookmarkStart w:id="3047" w:name="_Toc489279998"/>
      <w:bookmarkStart w:id="3048" w:name="_Toc486580187"/>
      <w:bookmarkStart w:id="3049" w:name="_Toc480486870"/>
      <w:bookmarkStart w:id="3050" w:name="_Toc483668216"/>
      <w:bookmarkStart w:id="3051" w:name="_Toc342296399"/>
      <w:bookmarkStart w:id="3052" w:name="_Toc117350556"/>
      <w:r>
        <w:t xml:space="preserve">20.6  </w:t>
      </w:r>
      <w:r>
        <w:rPr>
          <w:rFonts w:hint="eastAsia"/>
        </w:rPr>
        <w:t>对各项保险的一般要求</w:t>
      </w:r>
      <w:bookmarkEnd w:id="3044"/>
      <w:bookmarkEnd w:id="3045"/>
      <w:bookmarkEnd w:id="3046"/>
      <w:bookmarkEnd w:id="3047"/>
      <w:bookmarkEnd w:id="3048"/>
      <w:bookmarkEnd w:id="3049"/>
      <w:bookmarkEnd w:id="3050"/>
      <w:bookmarkEnd w:id="3051"/>
      <w:bookmarkEnd w:id="3052"/>
    </w:p>
    <w:p>
      <w:pPr>
        <w:spacing w:line="360" w:lineRule="auto"/>
        <w:ind w:firstLine="420" w:firstLineChars="200"/>
        <w:rPr>
          <w:rFonts w:ascii="宋体"/>
          <w:szCs w:val="21"/>
        </w:rPr>
      </w:pPr>
      <w:r>
        <w:rPr>
          <w:rFonts w:ascii="宋体" w:hAnsi="宋体"/>
          <w:szCs w:val="21"/>
        </w:rPr>
        <w:t xml:space="preserve">20.6.1  </w:t>
      </w:r>
      <w:r>
        <w:rPr>
          <w:rFonts w:hint="eastAsia" w:ascii="宋体" w:hAnsi="宋体"/>
          <w:szCs w:val="21"/>
        </w:rPr>
        <w:t>保险凭证</w:t>
      </w:r>
    </w:p>
    <w:p>
      <w:pPr>
        <w:spacing w:line="360" w:lineRule="auto"/>
        <w:ind w:firstLine="420" w:firstLineChars="200"/>
        <w:rPr>
          <w:rFonts w:ascii="宋体"/>
          <w:szCs w:val="21"/>
        </w:rPr>
      </w:pPr>
      <w:r>
        <w:rPr>
          <w:rFonts w:hint="eastAsia" w:ascii="宋体" w:hAnsi="宋体"/>
          <w:szCs w:val="21"/>
        </w:rPr>
        <w:t>承包人应在合同约定的期限内向发包人提交各项保险生效的证据和保险单副本，保险单必须与合同约定的条件保持一致。各项保险生效的证据和保险单副本的期限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20.6.2  </w:t>
      </w:r>
      <w:r>
        <w:rPr>
          <w:rFonts w:hint="eastAsia" w:ascii="宋体" w:hAnsi="宋体"/>
          <w:szCs w:val="21"/>
        </w:rPr>
        <w:t>保险合同条款的变动</w:t>
      </w:r>
    </w:p>
    <w:p>
      <w:pPr>
        <w:spacing w:line="360" w:lineRule="auto"/>
        <w:ind w:firstLine="420" w:firstLineChars="200"/>
        <w:rPr>
          <w:rFonts w:ascii="宋体"/>
          <w:szCs w:val="21"/>
        </w:rPr>
      </w:pPr>
      <w:r>
        <w:rPr>
          <w:rFonts w:hint="eastAsia" w:ascii="宋体" w:hAnsi="宋体"/>
          <w:szCs w:val="21"/>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rFonts w:ascii="宋体"/>
          <w:szCs w:val="21"/>
        </w:rPr>
      </w:pPr>
      <w:r>
        <w:rPr>
          <w:rFonts w:ascii="宋体" w:hAnsi="宋体"/>
          <w:szCs w:val="21"/>
        </w:rPr>
        <w:t xml:space="preserve">20.6.3  </w:t>
      </w:r>
      <w:r>
        <w:rPr>
          <w:rFonts w:hint="eastAsia" w:ascii="宋体" w:hAnsi="宋体"/>
          <w:szCs w:val="21"/>
        </w:rPr>
        <w:t>持续保险</w:t>
      </w:r>
    </w:p>
    <w:p>
      <w:pPr>
        <w:spacing w:line="360" w:lineRule="auto"/>
        <w:ind w:firstLine="420" w:firstLineChars="200"/>
        <w:rPr>
          <w:rFonts w:ascii="宋体"/>
          <w:szCs w:val="21"/>
        </w:rPr>
      </w:pPr>
      <w:r>
        <w:rPr>
          <w:rFonts w:hint="eastAsia" w:ascii="宋体" w:hAnsi="宋体"/>
          <w:szCs w:val="21"/>
        </w:rPr>
        <w:t>承包人应与保险人保持联系，使保险人能够随时了解工程实施中的变动，并确保按保险合同条款要求持续保险。</w:t>
      </w:r>
    </w:p>
    <w:p>
      <w:pPr>
        <w:spacing w:line="360" w:lineRule="auto"/>
        <w:ind w:firstLine="420" w:firstLineChars="200"/>
        <w:rPr>
          <w:rFonts w:ascii="宋体"/>
          <w:szCs w:val="21"/>
        </w:rPr>
      </w:pPr>
      <w:r>
        <w:rPr>
          <w:rFonts w:ascii="宋体" w:hAnsi="宋体"/>
          <w:szCs w:val="21"/>
        </w:rPr>
        <w:t xml:space="preserve">20.6.4  </w:t>
      </w:r>
      <w:r>
        <w:rPr>
          <w:rFonts w:hint="eastAsia" w:ascii="宋体" w:hAnsi="宋体"/>
          <w:szCs w:val="21"/>
        </w:rPr>
        <w:t>保险金不足的补偿</w:t>
      </w:r>
    </w:p>
    <w:p>
      <w:pPr>
        <w:spacing w:line="360" w:lineRule="auto"/>
        <w:ind w:firstLine="420" w:firstLineChars="200"/>
        <w:rPr>
          <w:rFonts w:ascii="宋体"/>
          <w:szCs w:val="21"/>
        </w:rPr>
      </w:pPr>
      <w:r>
        <w:rPr>
          <w:rFonts w:hint="eastAsia" w:ascii="宋体" w:hAnsi="宋体"/>
          <w:szCs w:val="21"/>
        </w:rPr>
        <w:t>保险金不足以补偿损失的，应由承包人和（或）发包人按合同约定负责补偿。保险金不足的补偿原则</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20.6.5  </w:t>
      </w:r>
      <w:r>
        <w:rPr>
          <w:rFonts w:hint="eastAsia" w:ascii="宋体" w:hAnsi="宋体"/>
          <w:szCs w:val="21"/>
        </w:rPr>
        <w:t>未按约定投保的补救</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）由于负有投保义务的一方当事人未按合同约定办理保险，或未能使保险持续有效的，另一方当事人可代为办理，所需费用由对方当事人承担。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rFonts w:ascii="宋体"/>
          <w:szCs w:val="21"/>
        </w:rPr>
      </w:pPr>
      <w:r>
        <w:rPr>
          <w:rFonts w:ascii="宋体" w:hAnsi="宋体"/>
          <w:szCs w:val="21"/>
        </w:rPr>
        <w:t xml:space="preserve">20.6.6  </w:t>
      </w:r>
      <w:r>
        <w:rPr>
          <w:rFonts w:hint="eastAsia" w:ascii="宋体" w:hAnsi="宋体"/>
          <w:szCs w:val="21"/>
        </w:rPr>
        <w:t>报告义务</w:t>
      </w:r>
    </w:p>
    <w:p>
      <w:pPr>
        <w:spacing w:line="360" w:lineRule="auto"/>
        <w:ind w:firstLine="420" w:firstLineChars="200"/>
        <w:rPr>
          <w:rFonts w:ascii="宋体"/>
          <w:szCs w:val="21"/>
        </w:rPr>
      </w:pPr>
      <w:r>
        <w:rPr>
          <w:rFonts w:hint="eastAsia" w:ascii="宋体" w:hAnsi="宋体"/>
          <w:szCs w:val="21"/>
        </w:rPr>
        <w:t>当保险事故发生时，投保人应按照保险单规定的条件和期限及时向保险人报告。</w:t>
      </w:r>
    </w:p>
    <w:p>
      <w:pPr>
        <w:pStyle w:val="144"/>
        <w:spacing w:before="120" w:after="120"/>
      </w:pPr>
      <w:bookmarkStart w:id="3053" w:name="_Toc338944842"/>
      <w:bookmarkStart w:id="3054" w:name="_Toc480486871"/>
      <w:bookmarkStart w:id="3055" w:name="_Toc489279999"/>
      <w:bookmarkStart w:id="3056" w:name="_Toc480487043"/>
      <w:bookmarkStart w:id="3057" w:name="_Toc342296400"/>
      <w:bookmarkStart w:id="3058" w:name="_Toc483668217"/>
      <w:bookmarkStart w:id="3059" w:name="_Toc486580188"/>
      <w:bookmarkStart w:id="3060" w:name="_Toc490222633"/>
      <w:bookmarkStart w:id="3061" w:name="_Toc117350557"/>
      <w:r>
        <w:t>21.</w:t>
      </w:r>
      <w:r>
        <w:rPr>
          <w:rFonts w:hint="eastAsia"/>
        </w:rPr>
        <w:t>不可抗力</w:t>
      </w:r>
      <w:bookmarkEnd w:id="3053"/>
      <w:bookmarkEnd w:id="3054"/>
      <w:bookmarkEnd w:id="3055"/>
      <w:bookmarkEnd w:id="3056"/>
      <w:bookmarkEnd w:id="3057"/>
      <w:bookmarkEnd w:id="3058"/>
      <w:bookmarkEnd w:id="3059"/>
      <w:bookmarkEnd w:id="3060"/>
      <w:bookmarkEnd w:id="3061"/>
    </w:p>
    <w:p>
      <w:pPr>
        <w:pStyle w:val="155"/>
        <w:spacing w:before="120" w:after="120"/>
      </w:pPr>
      <w:bookmarkStart w:id="3062" w:name="_Toc483668218"/>
      <w:bookmarkStart w:id="3063" w:name="_Toc486580189"/>
      <w:bookmarkStart w:id="3064" w:name="_Toc342296401"/>
      <w:bookmarkStart w:id="3065" w:name="_Toc338944843"/>
      <w:bookmarkStart w:id="3066" w:name="_Toc480487044"/>
      <w:bookmarkStart w:id="3067" w:name="_Toc480486872"/>
      <w:bookmarkStart w:id="3068" w:name="_Toc490222634"/>
      <w:bookmarkStart w:id="3069" w:name="_Toc489280000"/>
      <w:bookmarkStart w:id="3070" w:name="_Toc117350558"/>
      <w:r>
        <w:t xml:space="preserve">21.1  </w:t>
      </w:r>
      <w:r>
        <w:rPr>
          <w:rFonts w:hint="eastAsia"/>
        </w:rPr>
        <w:t>不可抗力的确认</w:t>
      </w:r>
      <w:bookmarkEnd w:id="3062"/>
      <w:bookmarkEnd w:id="3063"/>
      <w:bookmarkEnd w:id="3064"/>
      <w:bookmarkEnd w:id="3065"/>
      <w:bookmarkEnd w:id="3066"/>
      <w:bookmarkEnd w:id="3067"/>
      <w:bookmarkEnd w:id="3068"/>
      <w:bookmarkEnd w:id="3069"/>
      <w:bookmarkEnd w:id="3070"/>
    </w:p>
    <w:p>
      <w:pPr>
        <w:spacing w:line="360" w:lineRule="auto"/>
        <w:ind w:firstLine="420" w:firstLineChars="200"/>
        <w:rPr>
          <w:rFonts w:ascii="宋体"/>
          <w:szCs w:val="21"/>
        </w:rPr>
      </w:pPr>
      <w:r>
        <w:rPr>
          <w:rFonts w:ascii="宋体" w:hAnsi="宋体"/>
          <w:szCs w:val="21"/>
        </w:rPr>
        <w:t xml:space="preserve">21.1.1  </w:t>
      </w:r>
      <w:r>
        <w:rPr>
          <w:rFonts w:hint="eastAsia" w:ascii="宋体" w:hAnsi="宋体"/>
          <w:szCs w:val="21"/>
        </w:rPr>
        <w:t>不可抗力是指承包人和发包人在订立合同时不可预见，在工程施工过程中不可避免发生并不能克服的自然灾害和社会性突发事件，如地震、海啸、瘟疫、水灾、骚乱、暴动、战争和合同约定的其他情形。其他情形</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21.1.2  </w:t>
      </w:r>
      <w:r>
        <w:rPr>
          <w:rFonts w:hint="eastAsia" w:ascii="宋体" w:hAnsi="宋体"/>
          <w:szCs w:val="21"/>
        </w:rPr>
        <w:t>不可抗力发生后，发包人和承包人应及时认真统计所造成的损失，收集不可抗力造成损失的证据。合同双方对是否属于不可抗力或其损失的意见不一致的，由监理人按第</w:t>
      </w:r>
      <w:r>
        <w:rPr>
          <w:rFonts w:ascii="宋体" w:hAnsi="宋体"/>
          <w:szCs w:val="21"/>
        </w:rPr>
        <w:t>3.5</w:t>
      </w:r>
      <w:r>
        <w:rPr>
          <w:rFonts w:hint="eastAsia" w:ascii="宋体" w:hAnsi="宋体"/>
          <w:szCs w:val="21"/>
        </w:rPr>
        <w:t>款商定或确定。发生争议时，按第</w:t>
      </w:r>
      <w:r>
        <w:rPr>
          <w:rFonts w:ascii="宋体" w:hAnsi="宋体"/>
          <w:szCs w:val="21"/>
        </w:rPr>
        <w:t>24</w:t>
      </w:r>
      <w:r>
        <w:rPr>
          <w:rFonts w:hint="eastAsia" w:ascii="宋体" w:hAnsi="宋体"/>
          <w:szCs w:val="21"/>
        </w:rPr>
        <w:t>条的约定办理。</w:t>
      </w:r>
    </w:p>
    <w:p>
      <w:pPr>
        <w:pStyle w:val="155"/>
        <w:spacing w:before="120" w:after="120"/>
      </w:pPr>
      <w:bookmarkStart w:id="3071" w:name="_Toc152042530"/>
      <w:bookmarkStart w:id="3072" w:name="_Toc480486873"/>
      <w:bookmarkStart w:id="3073" w:name="_Toc480487045"/>
      <w:bookmarkStart w:id="3074" w:name="_Toc483668219"/>
      <w:bookmarkStart w:id="3075" w:name="_Toc489280001"/>
      <w:bookmarkStart w:id="3076" w:name="_Toc338944844"/>
      <w:bookmarkStart w:id="3077" w:name="_Toc152045751"/>
      <w:bookmarkStart w:id="3078" w:name="_Toc490222635"/>
      <w:bookmarkStart w:id="3079" w:name="_Toc342296402"/>
      <w:bookmarkStart w:id="3080" w:name="_Toc486580190"/>
      <w:bookmarkStart w:id="3081" w:name="_Toc144974722"/>
      <w:bookmarkStart w:id="3082" w:name="_Toc179632769"/>
      <w:bookmarkStart w:id="3083" w:name="_Toc117350559"/>
      <w:r>
        <w:t xml:space="preserve">21.2  </w:t>
      </w:r>
      <w:r>
        <w:rPr>
          <w:rFonts w:hint="eastAsia"/>
        </w:rPr>
        <w:t>不可抗力的通知</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pPr>
        <w:spacing w:line="360" w:lineRule="auto"/>
        <w:ind w:firstLine="420" w:firstLineChars="200"/>
        <w:rPr>
          <w:rFonts w:ascii="宋体"/>
          <w:szCs w:val="21"/>
        </w:rPr>
      </w:pPr>
      <w:r>
        <w:rPr>
          <w:rFonts w:ascii="宋体" w:hAnsi="宋体"/>
          <w:szCs w:val="21"/>
        </w:rPr>
        <w:t xml:space="preserve">21.2.1  </w:t>
      </w:r>
      <w:r>
        <w:rPr>
          <w:rFonts w:hint="eastAsia" w:ascii="宋体" w:hAnsi="宋体"/>
          <w:szCs w:val="21"/>
        </w:rPr>
        <w:t>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rFonts w:ascii="宋体"/>
          <w:szCs w:val="21"/>
        </w:rPr>
      </w:pPr>
      <w:r>
        <w:rPr>
          <w:rFonts w:ascii="宋体" w:hAnsi="宋体"/>
          <w:szCs w:val="21"/>
        </w:rPr>
        <w:t xml:space="preserve">21.2.2  </w:t>
      </w:r>
      <w:r>
        <w:rPr>
          <w:rFonts w:hint="eastAsia" w:ascii="宋体" w:hAnsi="宋体"/>
          <w:szCs w:val="21"/>
        </w:rPr>
        <w:t>如不可抗力持续发生，合同一方当事人应及时向合同另一方当事人和监理人提交中间报告，说明不可抗力和履行合同受阻的情况，并于不可抗力事件结束后</w:t>
      </w:r>
      <w:r>
        <w:rPr>
          <w:rFonts w:ascii="宋体" w:hAnsi="宋体"/>
          <w:szCs w:val="21"/>
        </w:rPr>
        <w:t>28</w:t>
      </w:r>
      <w:r>
        <w:rPr>
          <w:rFonts w:hint="eastAsia" w:ascii="宋体" w:hAnsi="宋体"/>
          <w:szCs w:val="21"/>
        </w:rPr>
        <w:t>天内提交最终报告及有关资料。</w:t>
      </w:r>
    </w:p>
    <w:p>
      <w:pPr>
        <w:pStyle w:val="155"/>
        <w:spacing w:before="120" w:after="120"/>
      </w:pPr>
      <w:bookmarkStart w:id="3084" w:name="_Toc342296403"/>
      <w:bookmarkStart w:id="3085" w:name="_Toc489280002"/>
      <w:bookmarkStart w:id="3086" w:name="_Toc480486874"/>
      <w:bookmarkStart w:id="3087" w:name="_Toc338944845"/>
      <w:bookmarkStart w:id="3088" w:name="_Toc490222636"/>
      <w:bookmarkStart w:id="3089" w:name="_Toc486580191"/>
      <w:bookmarkStart w:id="3090" w:name="_Toc483668220"/>
      <w:bookmarkStart w:id="3091" w:name="_Toc480487046"/>
      <w:bookmarkStart w:id="3092" w:name="_Toc117350560"/>
      <w:r>
        <w:t xml:space="preserve">21.3  </w:t>
      </w:r>
      <w:r>
        <w:rPr>
          <w:rFonts w:hint="eastAsia"/>
        </w:rPr>
        <w:t>不可抗力后果及其处理</w:t>
      </w:r>
      <w:bookmarkEnd w:id="3084"/>
      <w:bookmarkEnd w:id="3085"/>
      <w:bookmarkEnd w:id="3086"/>
      <w:bookmarkEnd w:id="3087"/>
      <w:bookmarkEnd w:id="3088"/>
      <w:bookmarkEnd w:id="3089"/>
      <w:bookmarkEnd w:id="3090"/>
      <w:bookmarkEnd w:id="3091"/>
      <w:bookmarkEnd w:id="3092"/>
    </w:p>
    <w:p>
      <w:pPr>
        <w:spacing w:line="360" w:lineRule="auto"/>
        <w:ind w:firstLine="420" w:firstLineChars="200"/>
        <w:rPr>
          <w:rFonts w:ascii="宋体"/>
          <w:szCs w:val="21"/>
        </w:rPr>
      </w:pPr>
      <w:r>
        <w:rPr>
          <w:rFonts w:ascii="宋体" w:hAnsi="宋体"/>
          <w:szCs w:val="21"/>
        </w:rPr>
        <w:t xml:space="preserve">21.3.1  </w:t>
      </w:r>
      <w:r>
        <w:rPr>
          <w:rFonts w:hint="eastAsia" w:ascii="宋体" w:hAnsi="宋体"/>
          <w:szCs w:val="21"/>
        </w:rPr>
        <w:t>不可抗力造成损害的责任</w:t>
      </w:r>
    </w:p>
    <w:p>
      <w:pPr>
        <w:spacing w:line="360" w:lineRule="auto"/>
        <w:ind w:firstLine="420" w:firstLineChars="200"/>
        <w:rPr>
          <w:rFonts w:ascii="宋体"/>
          <w:szCs w:val="21"/>
        </w:rPr>
      </w:pPr>
      <w:r>
        <w:rPr>
          <w:rFonts w:hint="eastAsia" w:ascii="宋体" w:hAnsi="宋体"/>
          <w:szCs w:val="21"/>
        </w:rPr>
        <w:t>不可抗力导致的人员伤亡、财产损失、费用增加和（或）工期延误等后果，由合同双方按以下原则承担：</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）永久工程，包括已运至施工场地的材料和工程设备的损害，以及因工程损害造成的第三者人员伤亡和财产损失由发包人承担；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）承包人设备的损坏由承包人承担；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）发包人和承包人各自承担其人员伤亡和其他财产损失及其相关费用；</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）承包人的停工损失由承包人承担，但停工期间应监理人要求照管工程和清理、修复工程的金额由发包人承担；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）不能按期竣工的，应合理延长工期，承包人不需支付逾期竣工违约金。发包人要求赶工的，承包人应采取赶工措施，赶工费用由发包人承担。</w:t>
      </w:r>
    </w:p>
    <w:p>
      <w:pPr>
        <w:spacing w:line="360" w:lineRule="auto"/>
        <w:ind w:firstLine="420" w:firstLineChars="200"/>
        <w:rPr>
          <w:rFonts w:ascii="宋体"/>
          <w:szCs w:val="21"/>
        </w:rPr>
      </w:pPr>
      <w:r>
        <w:rPr>
          <w:rFonts w:ascii="宋体" w:hAnsi="宋体"/>
          <w:szCs w:val="21"/>
        </w:rPr>
        <w:t xml:space="preserve">21.3.2  </w:t>
      </w:r>
      <w:r>
        <w:rPr>
          <w:rFonts w:hint="eastAsia" w:ascii="宋体" w:hAnsi="宋体"/>
          <w:szCs w:val="21"/>
        </w:rPr>
        <w:t>延迟履行期间发生的不可抗力</w:t>
      </w:r>
    </w:p>
    <w:p>
      <w:pPr>
        <w:spacing w:line="360" w:lineRule="auto"/>
        <w:ind w:firstLine="420" w:firstLineChars="200"/>
        <w:rPr>
          <w:rFonts w:ascii="宋体"/>
          <w:szCs w:val="21"/>
        </w:rPr>
      </w:pPr>
      <w:r>
        <w:rPr>
          <w:rFonts w:hint="eastAsia" w:ascii="宋体" w:hAnsi="宋体"/>
          <w:szCs w:val="21"/>
        </w:rPr>
        <w:t>合同一方当事人延迟履行，在延迟履行期间发生不可抗力的，不免除其责任。</w:t>
      </w:r>
    </w:p>
    <w:p>
      <w:pPr>
        <w:spacing w:line="360" w:lineRule="auto"/>
        <w:ind w:firstLine="420" w:firstLineChars="200"/>
        <w:rPr>
          <w:rFonts w:ascii="宋体"/>
          <w:szCs w:val="21"/>
        </w:rPr>
      </w:pPr>
      <w:r>
        <w:rPr>
          <w:rFonts w:ascii="宋体" w:hAnsi="宋体"/>
          <w:szCs w:val="21"/>
        </w:rPr>
        <w:t xml:space="preserve">21.3.3  </w:t>
      </w:r>
      <w:r>
        <w:rPr>
          <w:rFonts w:hint="eastAsia" w:ascii="宋体" w:hAnsi="宋体"/>
          <w:szCs w:val="21"/>
        </w:rPr>
        <w:t>避免和减少不可抗力损失</w:t>
      </w:r>
    </w:p>
    <w:p>
      <w:pPr>
        <w:spacing w:line="360" w:lineRule="auto"/>
        <w:ind w:firstLine="420" w:firstLineChars="200"/>
        <w:rPr>
          <w:rFonts w:ascii="宋体"/>
          <w:szCs w:val="21"/>
        </w:rPr>
      </w:pPr>
      <w:r>
        <w:rPr>
          <w:rFonts w:hint="eastAsia" w:ascii="宋体" w:hAnsi="宋体"/>
          <w:szCs w:val="21"/>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rFonts w:ascii="宋体"/>
          <w:szCs w:val="21"/>
        </w:rPr>
      </w:pPr>
      <w:r>
        <w:rPr>
          <w:rFonts w:ascii="宋体" w:hAnsi="宋体"/>
          <w:szCs w:val="21"/>
        </w:rPr>
        <w:t xml:space="preserve">21.3.4  </w:t>
      </w:r>
      <w:r>
        <w:rPr>
          <w:rFonts w:hint="eastAsia" w:ascii="宋体" w:hAnsi="宋体"/>
          <w:szCs w:val="21"/>
        </w:rPr>
        <w:t>因不可抗力解除合同</w:t>
      </w:r>
    </w:p>
    <w:p>
      <w:pPr>
        <w:spacing w:line="360" w:lineRule="auto"/>
        <w:ind w:firstLine="420" w:firstLineChars="200"/>
        <w:rPr>
          <w:rFonts w:ascii="宋体"/>
          <w:szCs w:val="21"/>
        </w:rPr>
      </w:pPr>
      <w:r>
        <w:rPr>
          <w:rFonts w:hint="eastAsia" w:ascii="宋体" w:hAnsi="宋体"/>
          <w:szCs w:val="21"/>
        </w:rPr>
        <w:t>合同一方当事人因不可抗力不能履行合同的，应当及时通知对方解除合同。合同解除后，承包人应按照第</w:t>
      </w:r>
      <w:r>
        <w:rPr>
          <w:rFonts w:ascii="宋体" w:hAnsi="宋体"/>
          <w:szCs w:val="21"/>
        </w:rPr>
        <w:t>22.2.5</w:t>
      </w:r>
      <w:r>
        <w:rPr>
          <w:rFonts w:hint="eastAsia" w:ascii="宋体" w:hAnsi="宋体"/>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szCs w:val="21"/>
        </w:rPr>
        <w:t>22.2.4</w:t>
      </w:r>
      <w:r>
        <w:rPr>
          <w:rFonts w:hint="eastAsia" w:ascii="宋体" w:hAnsi="宋体"/>
          <w:szCs w:val="21"/>
        </w:rPr>
        <w:t>项约定，由监理人按第</w:t>
      </w:r>
      <w:r>
        <w:rPr>
          <w:rFonts w:ascii="宋体" w:hAnsi="宋体"/>
          <w:szCs w:val="21"/>
        </w:rPr>
        <w:t>3.5</w:t>
      </w:r>
      <w:r>
        <w:rPr>
          <w:rFonts w:hint="eastAsia" w:ascii="宋体" w:hAnsi="宋体"/>
          <w:szCs w:val="21"/>
        </w:rPr>
        <w:t>款商定或确定。</w:t>
      </w:r>
    </w:p>
    <w:p>
      <w:pPr>
        <w:pStyle w:val="144"/>
        <w:spacing w:before="120" w:after="120"/>
      </w:pPr>
      <w:bookmarkStart w:id="3093" w:name="_Toc342296404"/>
      <w:bookmarkStart w:id="3094" w:name="_Toc480486875"/>
      <w:bookmarkStart w:id="3095" w:name="_Toc152045753"/>
      <w:bookmarkStart w:id="3096" w:name="_Toc179632771"/>
      <w:bookmarkStart w:id="3097" w:name="_Toc489280003"/>
      <w:bookmarkStart w:id="3098" w:name="_Toc152042532"/>
      <w:bookmarkStart w:id="3099" w:name="_Toc486580192"/>
      <w:bookmarkStart w:id="3100" w:name="_Toc338944846"/>
      <w:bookmarkStart w:id="3101" w:name="_Toc483668221"/>
      <w:bookmarkStart w:id="3102" w:name="_Toc490222637"/>
      <w:bookmarkStart w:id="3103" w:name="_Toc480487047"/>
      <w:bookmarkStart w:id="3104" w:name="_Toc144974724"/>
      <w:bookmarkStart w:id="3105" w:name="_Toc117350561"/>
      <w:r>
        <w:t>22.</w:t>
      </w:r>
      <w:r>
        <w:rPr>
          <w:rFonts w:hint="eastAsia"/>
        </w:rPr>
        <w:t>违约</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pPr>
        <w:pStyle w:val="155"/>
        <w:spacing w:before="120" w:after="120"/>
      </w:pPr>
      <w:bookmarkStart w:id="3106" w:name="_Toc152045754"/>
      <w:bookmarkStart w:id="3107" w:name="_Toc480487048"/>
      <w:bookmarkStart w:id="3108" w:name="_Toc486580193"/>
      <w:bookmarkStart w:id="3109" w:name="_Toc342296405"/>
      <w:bookmarkStart w:id="3110" w:name="_Toc144974725"/>
      <w:bookmarkStart w:id="3111" w:name="_Toc489280004"/>
      <w:bookmarkStart w:id="3112" w:name="_Toc338944847"/>
      <w:bookmarkStart w:id="3113" w:name="_Toc483668222"/>
      <w:bookmarkStart w:id="3114" w:name="_Toc179632772"/>
      <w:bookmarkStart w:id="3115" w:name="_Toc480486876"/>
      <w:bookmarkStart w:id="3116" w:name="_Toc490222638"/>
      <w:bookmarkStart w:id="3117" w:name="_Toc152042533"/>
      <w:bookmarkStart w:id="3118" w:name="_Toc117350562"/>
      <w:r>
        <w:t xml:space="preserve">22.1  </w:t>
      </w:r>
      <w:r>
        <w:rPr>
          <w:rFonts w:hint="eastAsia"/>
        </w:rPr>
        <w:t>承包人违约</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pPr>
        <w:spacing w:line="360" w:lineRule="auto"/>
        <w:ind w:firstLine="420" w:firstLineChars="200"/>
        <w:rPr>
          <w:rFonts w:ascii="宋体"/>
          <w:szCs w:val="21"/>
        </w:rPr>
      </w:pPr>
      <w:r>
        <w:rPr>
          <w:rFonts w:ascii="宋体" w:hAnsi="宋体"/>
          <w:szCs w:val="21"/>
        </w:rPr>
        <w:t xml:space="preserve">22.1.1  </w:t>
      </w:r>
      <w:r>
        <w:rPr>
          <w:rFonts w:hint="eastAsia" w:ascii="宋体" w:hAnsi="宋体"/>
          <w:szCs w:val="21"/>
        </w:rPr>
        <w:t>承包人违约的情形</w:t>
      </w:r>
    </w:p>
    <w:p>
      <w:pPr>
        <w:spacing w:line="360" w:lineRule="auto"/>
        <w:ind w:firstLine="420" w:firstLineChars="200"/>
        <w:rPr>
          <w:rFonts w:ascii="宋体"/>
          <w:szCs w:val="21"/>
        </w:rPr>
      </w:pPr>
      <w:r>
        <w:rPr>
          <w:rFonts w:hint="eastAsia" w:ascii="宋体" w:hAnsi="宋体"/>
          <w:szCs w:val="21"/>
        </w:rPr>
        <w:t>在履行合同过程中发生的下列情况属承包人违约：</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）承包人违反第</w:t>
      </w:r>
      <w:r>
        <w:rPr>
          <w:rFonts w:ascii="宋体" w:hAnsi="宋体"/>
          <w:szCs w:val="21"/>
        </w:rPr>
        <w:t>1.8</w:t>
      </w:r>
      <w:r>
        <w:rPr>
          <w:rFonts w:hint="eastAsia" w:ascii="宋体" w:hAnsi="宋体"/>
          <w:szCs w:val="21"/>
        </w:rPr>
        <w:t>款或第</w:t>
      </w:r>
      <w:r>
        <w:rPr>
          <w:rFonts w:ascii="宋体" w:hAnsi="宋体"/>
          <w:szCs w:val="21"/>
        </w:rPr>
        <w:t>4.3</w:t>
      </w:r>
      <w:r>
        <w:rPr>
          <w:rFonts w:hint="eastAsia" w:ascii="宋体" w:hAnsi="宋体"/>
          <w:szCs w:val="21"/>
        </w:rPr>
        <w:t>款的约定，私自将合同的全部或部分权利转让给其他人，或私自将合同的全部或部分义务转移给其他人；</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）承包人违反第</w:t>
      </w:r>
      <w:r>
        <w:rPr>
          <w:rFonts w:ascii="宋体" w:hAnsi="宋体"/>
          <w:szCs w:val="21"/>
        </w:rPr>
        <w:t>5.3</w:t>
      </w:r>
      <w:r>
        <w:rPr>
          <w:rFonts w:hint="eastAsia" w:ascii="宋体" w:hAnsi="宋体"/>
          <w:szCs w:val="21"/>
        </w:rPr>
        <w:t>款或第</w:t>
      </w:r>
      <w:r>
        <w:rPr>
          <w:rFonts w:ascii="宋体" w:hAnsi="宋体"/>
          <w:szCs w:val="21"/>
        </w:rPr>
        <w:t>6.4</w:t>
      </w:r>
      <w:r>
        <w:rPr>
          <w:rFonts w:hint="eastAsia" w:ascii="宋体" w:hAnsi="宋体"/>
          <w:szCs w:val="21"/>
        </w:rPr>
        <w:t>款的约定，未经监理人批准，私自将已按合同约定进入施工场地的施工设备、临时设施或材料撤离施工场地；</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）承包人违反第</w:t>
      </w:r>
      <w:r>
        <w:rPr>
          <w:rFonts w:ascii="宋体" w:hAnsi="宋体"/>
          <w:szCs w:val="21"/>
        </w:rPr>
        <w:t>5.4</w:t>
      </w:r>
      <w:r>
        <w:rPr>
          <w:rFonts w:hint="eastAsia" w:ascii="宋体" w:hAnsi="宋体"/>
          <w:szCs w:val="21"/>
        </w:rPr>
        <w:t>款的约定使用了不合格材料或工程设备，工程质量达不到标准要求，又拒绝清除不合格工程；</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）承包人未能按合同进度计划及时完成合同约定的工作，已造成或预期造成工期延误；</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）承包人在缺陷责任期内，未能对工程接收证书所列的缺陷清单的内容或缺陷责任期内发生的缺陷进行修复，而又拒绝按监理人指示再进行修补；</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）承包人无法继续履行或明确表示不履行或实质上已停止履行合同；</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7</w:t>
      </w:r>
      <w:r>
        <w:rPr>
          <w:rFonts w:hint="eastAsia" w:ascii="宋体" w:hAnsi="宋体"/>
          <w:szCs w:val="21"/>
        </w:rPr>
        <w:t>）承包人不按合同约定履行义务的其他情况。</w:t>
      </w:r>
    </w:p>
    <w:p>
      <w:pPr>
        <w:spacing w:line="360" w:lineRule="auto"/>
        <w:ind w:firstLine="420" w:firstLineChars="200"/>
        <w:rPr>
          <w:rFonts w:ascii="宋体"/>
          <w:szCs w:val="21"/>
        </w:rPr>
      </w:pPr>
      <w:r>
        <w:rPr>
          <w:rFonts w:ascii="宋体" w:hAnsi="宋体"/>
          <w:szCs w:val="21"/>
        </w:rPr>
        <w:t xml:space="preserve">22.1.2  </w:t>
      </w:r>
      <w:r>
        <w:rPr>
          <w:rFonts w:hint="eastAsia" w:ascii="宋体" w:hAnsi="宋体"/>
          <w:szCs w:val="21"/>
        </w:rPr>
        <w:t>对承包人违约的处理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）承包人发生第</w:t>
      </w:r>
      <w:r>
        <w:rPr>
          <w:rFonts w:ascii="宋体" w:hAnsi="宋体"/>
          <w:szCs w:val="21"/>
        </w:rPr>
        <w:t>22.1.1</w:t>
      </w:r>
      <w:r>
        <w:rPr>
          <w:rFonts w:hint="eastAsia" w:ascii="宋体" w:hAnsi="宋体"/>
          <w:szCs w:val="21"/>
        </w:rPr>
        <w:t>（</w:t>
      </w:r>
      <w:r>
        <w:rPr>
          <w:rFonts w:ascii="宋体" w:hAnsi="宋体"/>
          <w:szCs w:val="21"/>
        </w:rPr>
        <w:t>6</w:t>
      </w:r>
      <w:r>
        <w:rPr>
          <w:rFonts w:hint="eastAsia" w:ascii="宋体" w:hAnsi="宋体"/>
          <w:szCs w:val="21"/>
        </w:rPr>
        <w:t>）目约定的违约情况时，发包人可通知承包人立即解除合同，并按有关法律处理。</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）承包人发生除第</w:t>
      </w:r>
      <w:r>
        <w:rPr>
          <w:rFonts w:ascii="宋体" w:hAnsi="宋体"/>
          <w:szCs w:val="21"/>
        </w:rPr>
        <w:t>22.1.1</w:t>
      </w:r>
      <w:r>
        <w:rPr>
          <w:rFonts w:hint="eastAsia" w:ascii="宋体" w:hAnsi="宋体"/>
          <w:szCs w:val="21"/>
        </w:rPr>
        <w:t>（</w:t>
      </w:r>
      <w:r>
        <w:rPr>
          <w:rFonts w:ascii="宋体" w:hAnsi="宋体"/>
          <w:szCs w:val="21"/>
        </w:rPr>
        <w:t>6</w:t>
      </w:r>
      <w:r>
        <w:rPr>
          <w:rFonts w:hint="eastAsia" w:ascii="宋体" w:hAnsi="宋体"/>
          <w:szCs w:val="21"/>
        </w:rPr>
        <w:t>）目约定以外的其他违约情况时，监理人可向承包人发出整改通知，要求其在指定的期限内改正。承包人应承担其违约所引起的费用增加和（或）工期延误。</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）经检查证明承包人已采取了有效措施纠正违约行为，具备复工条件的，可由监理人签发复工通知复工。</w:t>
      </w:r>
    </w:p>
    <w:p>
      <w:pPr>
        <w:spacing w:line="360" w:lineRule="auto"/>
        <w:ind w:firstLine="420" w:firstLineChars="200"/>
        <w:rPr>
          <w:rFonts w:ascii="宋体"/>
          <w:szCs w:val="21"/>
        </w:rPr>
      </w:pPr>
      <w:r>
        <w:rPr>
          <w:rFonts w:ascii="宋体" w:hAnsi="宋体"/>
          <w:szCs w:val="21"/>
        </w:rPr>
        <w:t xml:space="preserve">22.1.3  </w:t>
      </w:r>
      <w:r>
        <w:rPr>
          <w:rFonts w:hint="eastAsia" w:ascii="宋体" w:hAnsi="宋体"/>
          <w:szCs w:val="21"/>
        </w:rPr>
        <w:t>承包人违约解除合同</w:t>
      </w:r>
    </w:p>
    <w:p>
      <w:pPr>
        <w:spacing w:line="360" w:lineRule="auto"/>
        <w:ind w:firstLine="420" w:firstLineChars="200"/>
        <w:rPr>
          <w:rFonts w:ascii="宋体"/>
          <w:szCs w:val="21"/>
        </w:rPr>
      </w:pPr>
      <w:r>
        <w:rPr>
          <w:rFonts w:hint="eastAsia" w:ascii="宋体" w:hAnsi="宋体"/>
          <w:szCs w:val="21"/>
        </w:rPr>
        <w:t>监理人发出整改通知</w:t>
      </w:r>
      <w:r>
        <w:rPr>
          <w:rFonts w:ascii="宋体" w:hAnsi="宋体"/>
          <w:szCs w:val="21"/>
        </w:rPr>
        <w:t>28</w:t>
      </w:r>
      <w:r>
        <w:rPr>
          <w:rFonts w:hint="eastAsia" w:ascii="宋体" w:hAnsi="宋体"/>
          <w:szCs w:val="21"/>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rFonts w:ascii="宋体"/>
          <w:szCs w:val="21"/>
        </w:rPr>
      </w:pPr>
      <w:r>
        <w:rPr>
          <w:rFonts w:ascii="宋体" w:hAnsi="宋体"/>
          <w:szCs w:val="21"/>
        </w:rPr>
        <w:t xml:space="preserve">22.1.4  </w:t>
      </w:r>
      <w:r>
        <w:rPr>
          <w:rFonts w:hint="eastAsia" w:ascii="宋体" w:hAnsi="宋体"/>
          <w:szCs w:val="21"/>
        </w:rPr>
        <w:t>合同解除后的估价、付款和结清</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）合同解除后，监理人按第</w:t>
      </w:r>
      <w:r>
        <w:rPr>
          <w:rFonts w:ascii="宋体" w:hAnsi="宋体"/>
          <w:szCs w:val="21"/>
        </w:rPr>
        <w:t>3.5</w:t>
      </w:r>
      <w:r>
        <w:rPr>
          <w:rFonts w:hint="eastAsia" w:ascii="宋体" w:hAnsi="宋体"/>
          <w:szCs w:val="21"/>
        </w:rPr>
        <w:t>款商定或确定承包人实际完成工作的价值，以及承包人已提供的材料、施工设备、工程设备和临时工程等的价值。</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）合同解除后，发包人应暂停对承包人的一切付款，查清各项付款和已扣款金额，包括承包人应支付的违约金。</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）合同解除后，发包人应按第</w:t>
      </w:r>
      <w:r>
        <w:rPr>
          <w:rFonts w:ascii="宋体" w:hAnsi="宋体"/>
          <w:szCs w:val="21"/>
        </w:rPr>
        <w:t>23.4</w:t>
      </w:r>
      <w:r>
        <w:rPr>
          <w:rFonts w:hint="eastAsia" w:ascii="宋体" w:hAnsi="宋体"/>
          <w:szCs w:val="21"/>
        </w:rPr>
        <w:t>款的约定向承包人索赔由于解除合同给发包人造成的损失。</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）合同双方确认上述往来款项后，出具最终结清付款证书，结清全部合同款项。</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）发包人和承包人未能就解除合同后的结清达成一致而形成争议的，按第</w:t>
      </w:r>
      <w:r>
        <w:rPr>
          <w:rFonts w:ascii="宋体" w:hAnsi="宋体"/>
          <w:szCs w:val="21"/>
        </w:rPr>
        <w:t>24</w:t>
      </w:r>
      <w:r>
        <w:rPr>
          <w:rFonts w:hint="eastAsia" w:ascii="宋体" w:hAnsi="宋体"/>
          <w:szCs w:val="21"/>
        </w:rPr>
        <w:t>条的约定办理。</w:t>
      </w:r>
    </w:p>
    <w:p>
      <w:pPr>
        <w:spacing w:line="360" w:lineRule="auto"/>
        <w:ind w:firstLine="420" w:firstLineChars="200"/>
        <w:rPr>
          <w:rFonts w:ascii="宋体"/>
          <w:szCs w:val="21"/>
        </w:rPr>
      </w:pPr>
      <w:r>
        <w:rPr>
          <w:rFonts w:ascii="宋体" w:hAnsi="宋体"/>
          <w:szCs w:val="21"/>
        </w:rPr>
        <w:t xml:space="preserve">22.1.5  </w:t>
      </w:r>
      <w:r>
        <w:rPr>
          <w:rFonts w:hint="eastAsia" w:ascii="宋体" w:hAnsi="宋体"/>
          <w:szCs w:val="21"/>
        </w:rPr>
        <w:t>协议利益的转让</w:t>
      </w:r>
    </w:p>
    <w:p>
      <w:pPr>
        <w:spacing w:line="360" w:lineRule="auto"/>
        <w:ind w:firstLine="420" w:firstLineChars="200"/>
        <w:rPr>
          <w:rFonts w:ascii="宋体"/>
          <w:szCs w:val="21"/>
        </w:rPr>
      </w:pPr>
      <w:r>
        <w:rPr>
          <w:rFonts w:hint="eastAsia" w:ascii="宋体" w:hAnsi="宋体"/>
          <w:szCs w:val="21"/>
        </w:rPr>
        <w:t>因承包人违约解除合同的，发包人有权要求承包人将其为实施合同而签订的材料和设备的订货协议或任何服务协议利益转让给发包人，并在解除合同后的</w:t>
      </w:r>
      <w:r>
        <w:rPr>
          <w:rFonts w:ascii="宋体" w:hAnsi="宋体"/>
          <w:szCs w:val="21"/>
        </w:rPr>
        <w:t>14</w:t>
      </w:r>
      <w:r>
        <w:rPr>
          <w:rFonts w:hint="eastAsia" w:ascii="宋体" w:hAnsi="宋体"/>
          <w:szCs w:val="21"/>
        </w:rPr>
        <w:t>天内，依法办理转让手续。</w:t>
      </w:r>
      <w:r>
        <w:rPr>
          <w:rFonts w:ascii="宋体" w:hAnsi="宋体"/>
          <w:szCs w:val="21"/>
        </w:rPr>
        <w:t xml:space="preserve"> </w:t>
      </w:r>
    </w:p>
    <w:p>
      <w:pPr>
        <w:spacing w:line="360" w:lineRule="auto"/>
        <w:ind w:firstLine="420" w:firstLineChars="200"/>
        <w:rPr>
          <w:rFonts w:ascii="宋体"/>
          <w:szCs w:val="21"/>
        </w:rPr>
      </w:pPr>
      <w:r>
        <w:rPr>
          <w:rFonts w:ascii="宋体" w:hAnsi="宋体"/>
          <w:szCs w:val="21"/>
        </w:rPr>
        <w:t xml:space="preserve">22.1.6  </w:t>
      </w:r>
      <w:r>
        <w:rPr>
          <w:rFonts w:hint="eastAsia" w:ascii="宋体" w:hAnsi="宋体"/>
          <w:szCs w:val="21"/>
        </w:rPr>
        <w:t>紧急情况下无能力或不愿进行抢救</w:t>
      </w:r>
    </w:p>
    <w:p>
      <w:pPr>
        <w:spacing w:line="360" w:lineRule="auto"/>
        <w:ind w:firstLine="420" w:firstLineChars="200"/>
        <w:rPr>
          <w:rFonts w:ascii="宋体"/>
          <w:szCs w:val="21"/>
        </w:rPr>
      </w:pPr>
      <w:r>
        <w:rPr>
          <w:rFonts w:hint="eastAsia" w:ascii="宋体" w:hAnsi="宋体"/>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155"/>
        <w:spacing w:before="120" w:after="120"/>
      </w:pPr>
      <w:bookmarkStart w:id="3119" w:name="_Toc179632773"/>
      <w:bookmarkStart w:id="3120" w:name="_Toc152045755"/>
      <w:bookmarkStart w:id="3121" w:name="_Toc480487049"/>
      <w:bookmarkStart w:id="3122" w:name="_Toc489280005"/>
      <w:bookmarkStart w:id="3123" w:name="_Toc144974726"/>
      <w:bookmarkStart w:id="3124" w:name="_Toc338944848"/>
      <w:bookmarkStart w:id="3125" w:name="_Toc342296406"/>
      <w:bookmarkStart w:id="3126" w:name="_Toc483668223"/>
      <w:bookmarkStart w:id="3127" w:name="_Toc486580194"/>
      <w:bookmarkStart w:id="3128" w:name="_Toc152042534"/>
      <w:bookmarkStart w:id="3129" w:name="_Toc480486877"/>
      <w:bookmarkStart w:id="3130" w:name="_Toc490222639"/>
      <w:bookmarkStart w:id="3131" w:name="_Toc117350563"/>
      <w:r>
        <w:t xml:space="preserve">22.2  </w:t>
      </w:r>
      <w:r>
        <w:rPr>
          <w:rFonts w:hint="eastAsia"/>
        </w:rPr>
        <w:t>发包人违约</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pPr>
        <w:spacing w:line="360" w:lineRule="auto"/>
        <w:ind w:firstLine="420" w:firstLineChars="200"/>
        <w:rPr>
          <w:rFonts w:ascii="宋体"/>
          <w:szCs w:val="21"/>
        </w:rPr>
      </w:pPr>
      <w:r>
        <w:rPr>
          <w:rFonts w:ascii="宋体" w:hAnsi="宋体"/>
          <w:szCs w:val="21"/>
        </w:rPr>
        <w:t xml:space="preserve">22.2.1  </w:t>
      </w:r>
      <w:r>
        <w:rPr>
          <w:rFonts w:hint="eastAsia" w:ascii="宋体" w:hAnsi="宋体"/>
          <w:szCs w:val="21"/>
        </w:rPr>
        <w:t>发包人违约的情形</w:t>
      </w:r>
    </w:p>
    <w:p>
      <w:pPr>
        <w:spacing w:line="360" w:lineRule="auto"/>
        <w:ind w:firstLine="420" w:firstLineChars="200"/>
        <w:rPr>
          <w:rFonts w:ascii="宋体"/>
          <w:szCs w:val="21"/>
        </w:rPr>
      </w:pPr>
      <w:r>
        <w:rPr>
          <w:rFonts w:hint="eastAsia" w:ascii="宋体" w:hAnsi="宋体"/>
          <w:szCs w:val="21"/>
        </w:rPr>
        <w:t>在履行合同过程中发生的下列情形，属发包人违约：</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）发包人未能按合同约定支付预付款或合同价款，或拖延、拒绝批准付款申请和支付凭证，导致付款延误的；</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）发包人原因造成停工的；</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）监理人无正当理由没有在约定期限内发出复工指示，导致承包人无法复工的；</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）发包人无法继续履行或明确表示不履行或实质上已停止履行合同的；</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）发包人不履行合同约定其他义务的。</w:t>
      </w:r>
    </w:p>
    <w:p>
      <w:pPr>
        <w:spacing w:line="360" w:lineRule="auto"/>
        <w:ind w:firstLine="420" w:firstLineChars="200"/>
        <w:rPr>
          <w:rFonts w:ascii="宋体"/>
          <w:szCs w:val="21"/>
        </w:rPr>
      </w:pPr>
      <w:r>
        <w:rPr>
          <w:rFonts w:ascii="宋体" w:hAnsi="宋体"/>
          <w:szCs w:val="21"/>
        </w:rPr>
        <w:t xml:space="preserve">22.2.2  </w:t>
      </w:r>
      <w:r>
        <w:rPr>
          <w:rFonts w:hint="eastAsia" w:ascii="宋体" w:hAnsi="宋体"/>
          <w:szCs w:val="21"/>
        </w:rPr>
        <w:t>承包人有权暂停施工</w:t>
      </w:r>
    </w:p>
    <w:p>
      <w:pPr>
        <w:spacing w:line="360" w:lineRule="auto"/>
        <w:ind w:firstLine="420" w:firstLineChars="200"/>
        <w:rPr>
          <w:rFonts w:ascii="宋体"/>
          <w:szCs w:val="21"/>
        </w:rPr>
      </w:pPr>
      <w:r>
        <w:rPr>
          <w:rFonts w:hint="eastAsia" w:ascii="宋体" w:hAnsi="宋体"/>
          <w:szCs w:val="21"/>
        </w:rPr>
        <w:t>发包人发生除第</w:t>
      </w:r>
      <w:r>
        <w:rPr>
          <w:rFonts w:ascii="宋体" w:hAnsi="宋体"/>
          <w:szCs w:val="21"/>
        </w:rPr>
        <w:t>22.2.1</w:t>
      </w:r>
      <w:r>
        <w:rPr>
          <w:rFonts w:hint="eastAsia" w:ascii="宋体" w:hAnsi="宋体"/>
          <w:szCs w:val="21"/>
        </w:rPr>
        <w:t>（</w:t>
      </w:r>
      <w:r>
        <w:rPr>
          <w:rFonts w:ascii="宋体" w:hAnsi="宋体"/>
          <w:szCs w:val="21"/>
        </w:rPr>
        <w:t>4</w:t>
      </w:r>
      <w:r>
        <w:rPr>
          <w:rFonts w:hint="eastAsia" w:ascii="宋体" w:hAnsi="宋体"/>
          <w:szCs w:val="21"/>
        </w:rPr>
        <w:t>）目以外的违约情况时，承包人可向发包人发出通知，要求发包人采取有效措施纠正违约行为。发包人收到承包人通知后的</w:t>
      </w:r>
      <w:r>
        <w:rPr>
          <w:rFonts w:ascii="宋体" w:hAnsi="宋体"/>
          <w:szCs w:val="21"/>
        </w:rPr>
        <w:t>28</w:t>
      </w:r>
      <w:r>
        <w:rPr>
          <w:rFonts w:hint="eastAsia" w:ascii="宋体" w:hAnsi="宋体"/>
          <w:szCs w:val="21"/>
        </w:rPr>
        <w:t>天内仍不履行合同义务，承包人有权暂停施工，并通知监理人，发包人应承担由此增加的费用和（或）工期延误，并支付承包人合理利润。</w:t>
      </w:r>
    </w:p>
    <w:p>
      <w:pPr>
        <w:spacing w:line="360" w:lineRule="auto"/>
        <w:ind w:firstLine="420" w:firstLineChars="200"/>
        <w:rPr>
          <w:rFonts w:ascii="宋体"/>
          <w:szCs w:val="21"/>
        </w:rPr>
      </w:pPr>
      <w:r>
        <w:rPr>
          <w:rFonts w:ascii="宋体" w:hAnsi="宋体"/>
          <w:szCs w:val="21"/>
        </w:rPr>
        <w:t xml:space="preserve">22.2.3  </w:t>
      </w:r>
      <w:r>
        <w:rPr>
          <w:rFonts w:hint="eastAsia" w:ascii="宋体" w:hAnsi="宋体"/>
          <w:szCs w:val="21"/>
        </w:rPr>
        <w:t>发包人违约解除合同</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）发生第</w:t>
      </w:r>
      <w:r>
        <w:rPr>
          <w:rFonts w:ascii="宋体" w:hAnsi="宋体"/>
          <w:szCs w:val="21"/>
        </w:rPr>
        <w:t>22.2.1</w:t>
      </w:r>
      <w:r>
        <w:rPr>
          <w:rFonts w:hint="eastAsia" w:ascii="宋体" w:hAnsi="宋体"/>
          <w:szCs w:val="21"/>
        </w:rPr>
        <w:t>（</w:t>
      </w:r>
      <w:r>
        <w:rPr>
          <w:rFonts w:ascii="宋体" w:hAnsi="宋体"/>
          <w:szCs w:val="21"/>
        </w:rPr>
        <w:t>4</w:t>
      </w:r>
      <w:r>
        <w:rPr>
          <w:rFonts w:hint="eastAsia" w:ascii="宋体" w:hAnsi="宋体"/>
          <w:szCs w:val="21"/>
        </w:rPr>
        <w:t>）目的违约情况时，承包人可书面通知发包人解除合同。</w:t>
      </w:r>
      <w:r>
        <w:rPr>
          <w:rFonts w:ascii="宋体" w:hAnsi="宋体"/>
          <w:szCs w:val="21"/>
        </w:rPr>
        <w:t xml:space="preserve">   </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）承包人按第</w:t>
      </w:r>
      <w:r>
        <w:rPr>
          <w:rFonts w:ascii="宋体" w:hAnsi="宋体"/>
          <w:szCs w:val="21"/>
        </w:rPr>
        <w:t>22.2.2</w:t>
      </w:r>
      <w:r>
        <w:rPr>
          <w:rFonts w:hint="eastAsia" w:ascii="宋体" w:hAnsi="宋体"/>
          <w:szCs w:val="21"/>
        </w:rPr>
        <w:t>项暂停施工</w:t>
      </w:r>
      <w:r>
        <w:rPr>
          <w:rFonts w:ascii="宋体" w:hAnsi="宋体"/>
          <w:szCs w:val="21"/>
        </w:rPr>
        <w:t>28</w:t>
      </w:r>
      <w:r>
        <w:rPr>
          <w:rFonts w:hint="eastAsia" w:ascii="宋体" w:hAnsi="宋体"/>
          <w:szCs w:val="21"/>
        </w:rPr>
        <w:t>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rFonts w:ascii="宋体"/>
          <w:szCs w:val="21"/>
        </w:rPr>
      </w:pPr>
      <w:r>
        <w:rPr>
          <w:rFonts w:ascii="宋体" w:hAnsi="宋体"/>
          <w:szCs w:val="21"/>
        </w:rPr>
        <w:t xml:space="preserve">22.2.4  </w:t>
      </w:r>
      <w:r>
        <w:rPr>
          <w:rFonts w:hint="eastAsia" w:ascii="宋体" w:hAnsi="宋体"/>
          <w:szCs w:val="21"/>
        </w:rPr>
        <w:t>解除合同后的付款</w:t>
      </w:r>
    </w:p>
    <w:p>
      <w:pPr>
        <w:spacing w:line="360" w:lineRule="auto"/>
        <w:ind w:firstLine="420" w:firstLineChars="200"/>
        <w:rPr>
          <w:rFonts w:ascii="宋体"/>
          <w:szCs w:val="21"/>
        </w:rPr>
      </w:pPr>
      <w:r>
        <w:rPr>
          <w:rFonts w:hint="eastAsia" w:ascii="宋体" w:hAnsi="宋体"/>
          <w:szCs w:val="21"/>
        </w:rPr>
        <w:t>因发包人违约解除合同的，发包人应在解除合同后</w:t>
      </w:r>
      <w:r>
        <w:rPr>
          <w:rFonts w:ascii="宋体" w:hAnsi="宋体"/>
          <w:szCs w:val="21"/>
        </w:rPr>
        <w:t>28</w:t>
      </w:r>
      <w:r>
        <w:rPr>
          <w:rFonts w:hint="eastAsia" w:ascii="宋体" w:hAnsi="宋体"/>
          <w:szCs w:val="21"/>
        </w:rPr>
        <w:t>天内向承包人支付下列金额，承包人应在此期限内及时向发包人提交要求支付下列金额的有关资料和凭证：</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）合同解除日以前所完成工作的价款；</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）承包人为该工程施工订购并已付款的材料、工程设备和其他物品的金额。发包人付还后，该材料、工程设备和其他物品归发包人所有；</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）承包人为完成工程所发生的，而发包人未支付的金额；</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）承包人撤离施工场地以及遣散承包人人员的金额；</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）由于解除合同应赔偿的承包人损失；</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）按合同约定在合同解除日前应支付给承包人的其他金额。</w:t>
      </w:r>
    </w:p>
    <w:p>
      <w:pPr>
        <w:spacing w:line="360" w:lineRule="auto"/>
        <w:ind w:firstLine="420" w:firstLineChars="200"/>
        <w:rPr>
          <w:rFonts w:ascii="宋体"/>
          <w:szCs w:val="21"/>
        </w:rPr>
      </w:pPr>
      <w:r>
        <w:rPr>
          <w:rFonts w:hint="eastAsia" w:ascii="宋体" w:hAnsi="宋体"/>
          <w:szCs w:val="21"/>
        </w:rPr>
        <w:t>发包人应按本项约定支付上述金额并退还质量保证金或退还质量保证金保函和履约担保，但有权要求承包人支付应偿还给发包人的各项金额。</w:t>
      </w:r>
    </w:p>
    <w:p>
      <w:pPr>
        <w:spacing w:line="360" w:lineRule="auto"/>
        <w:ind w:firstLine="420" w:firstLineChars="200"/>
        <w:rPr>
          <w:rFonts w:ascii="宋体"/>
          <w:szCs w:val="21"/>
        </w:rPr>
      </w:pPr>
      <w:r>
        <w:rPr>
          <w:rFonts w:ascii="宋体" w:hAnsi="宋体"/>
          <w:szCs w:val="21"/>
        </w:rPr>
        <w:t xml:space="preserve">22.2.5  </w:t>
      </w:r>
      <w:r>
        <w:rPr>
          <w:rFonts w:hint="eastAsia" w:ascii="宋体" w:hAnsi="宋体"/>
          <w:szCs w:val="21"/>
        </w:rPr>
        <w:t>解除合同后的承包人撤离</w:t>
      </w:r>
    </w:p>
    <w:p>
      <w:pPr>
        <w:spacing w:line="360" w:lineRule="auto"/>
        <w:ind w:firstLine="420" w:firstLineChars="200"/>
        <w:rPr>
          <w:rFonts w:ascii="宋体"/>
          <w:szCs w:val="21"/>
        </w:rPr>
      </w:pPr>
      <w:r>
        <w:rPr>
          <w:rFonts w:hint="eastAsia" w:ascii="宋体" w:hAnsi="宋体"/>
          <w:szCs w:val="21"/>
        </w:rPr>
        <w:t>因发包人违约而解除合同后，承包人应妥善做好已竣工工程和已购材料、设备的保护和移交工作，按发包人要求将承包人设备和人员撤出施工场地。承包人撤出施工场地应遵守第</w:t>
      </w:r>
      <w:r>
        <w:rPr>
          <w:rFonts w:ascii="宋体" w:hAnsi="宋体"/>
          <w:szCs w:val="21"/>
        </w:rPr>
        <w:t>18.7.1</w:t>
      </w:r>
      <w:r>
        <w:rPr>
          <w:rFonts w:hint="eastAsia" w:ascii="宋体" w:hAnsi="宋体"/>
          <w:szCs w:val="21"/>
        </w:rPr>
        <w:t>项的约定，发包人应为承包人撤出提供必要条件。</w:t>
      </w:r>
    </w:p>
    <w:p>
      <w:pPr>
        <w:pStyle w:val="155"/>
        <w:spacing w:before="120" w:after="120"/>
      </w:pPr>
      <w:bookmarkStart w:id="3132" w:name="_Toc179632774"/>
      <w:bookmarkStart w:id="3133" w:name="_Toc490222640"/>
      <w:bookmarkStart w:id="3134" w:name="_Toc338944849"/>
      <w:bookmarkStart w:id="3135" w:name="_Toc483668224"/>
      <w:bookmarkStart w:id="3136" w:name="_Toc342296407"/>
      <w:bookmarkStart w:id="3137" w:name="_Toc486580195"/>
      <w:bookmarkStart w:id="3138" w:name="_Toc480486878"/>
      <w:bookmarkStart w:id="3139" w:name="_Toc480487050"/>
      <w:bookmarkStart w:id="3140" w:name="_Toc152042535"/>
      <w:bookmarkStart w:id="3141" w:name="_Toc489280006"/>
      <w:bookmarkStart w:id="3142" w:name="_Toc152045756"/>
      <w:bookmarkStart w:id="3143" w:name="_Toc117350564"/>
      <w:r>
        <w:t xml:space="preserve">22.3  </w:t>
      </w:r>
      <w:r>
        <w:rPr>
          <w:rFonts w:hint="eastAsia"/>
        </w:rPr>
        <w:t>第三人造成的违约</w:t>
      </w:r>
      <w:bookmarkEnd w:id="3132"/>
      <w:bookmarkEnd w:id="3133"/>
      <w:bookmarkEnd w:id="3134"/>
      <w:bookmarkEnd w:id="3135"/>
      <w:bookmarkEnd w:id="3136"/>
      <w:bookmarkEnd w:id="3137"/>
      <w:bookmarkEnd w:id="3138"/>
      <w:bookmarkEnd w:id="3139"/>
      <w:bookmarkEnd w:id="3140"/>
      <w:bookmarkEnd w:id="3141"/>
      <w:bookmarkEnd w:id="3142"/>
      <w:bookmarkEnd w:id="3143"/>
    </w:p>
    <w:p>
      <w:pPr>
        <w:spacing w:line="360" w:lineRule="auto"/>
        <w:ind w:firstLine="420" w:firstLineChars="200"/>
        <w:rPr>
          <w:rFonts w:ascii="宋体"/>
          <w:szCs w:val="21"/>
        </w:rPr>
      </w:pPr>
      <w:r>
        <w:rPr>
          <w:rFonts w:hint="eastAsia" w:ascii="宋体" w:hAnsi="宋体"/>
          <w:szCs w:val="21"/>
        </w:rPr>
        <w:t>在履行合同过程中，一方当事人因第三人的原因造成违约的，应当向对方当事人承担违约责任。一方当事人和第三人之间的纠纷，依照法律规定或者按照约定解决。</w:t>
      </w:r>
    </w:p>
    <w:p>
      <w:pPr>
        <w:pStyle w:val="144"/>
        <w:spacing w:before="120" w:after="120"/>
      </w:pPr>
      <w:bookmarkStart w:id="3144" w:name="_Toc342296408"/>
      <w:bookmarkStart w:id="3145" w:name="_Toc338944850"/>
      <w:bookmarkStart w:id="3146" w:name="_Toc152042536"/>
      <w:bookmarkStart w:id="3147" w:name="_Toc490222641"/>
      <w:bookmarkStart w:id="3148" w:name="_Toc179632775"/>
      <w:bookmarkStart w:id="3149" w:name="_Toc483668225"/>
      <w:bookmarkStart w:id="3150" w:name="_Toc489280007"/>
      <w:bookmarkStart w:id="3151" w:name="_Toc480486879"/>
      <w:bookmarkStart w:id="3152" w:name="_Toc486580196"/>
      <w:bookmarkStart w:id="3153" w:name="_Toc144974727"/>
      <w:bookmarkStart w:id="3154" w:name="_Toc152045757"/>
      <w:bookmarkStart w:id="3155" w:name="_Toc480487051"/>
      <w:bookmarkStart w:id="3156" w:name="_Toc117350565"/>
      <w:r>
        <w:t>23.</w:t>
      </w:r>
      <w:r>
        <w:rPr>
          <w:rFonts w:hint="eastAsia"/>
        </w:rPr>
        <w:t>索赔</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pPr>
        <w:pStyle w:val="155"/>
        <w:spacing w:before="120" w:after="120"/>
      </w:pPr>
      <w:bookmarkStart w:id="3157" w:name="_Toc179632776"/>
      <w:bookmarkStart w:id="3158" w:name="_Toc152045758"/>
      <w:bookmarkStart w:id="3159" w:name="_Toc480486880"/>
      <w:bookmarkStart w:id="3160" w:name="_Toc489280008"/>
      <w:bookmarkStart w:id="3161" w:name="_Toc152042537"/>
      <w:bookmarkStart w:id="3162" w:name="_Toc342296409"/>
      <w:bookmarkStart w:id="3163" w:name="_Toc490222642"/>
      <w:bookmarkStart w:id="3164" w:name="_Toc144974728"/>
      <w:bookmarkStart w:id="3165" w:name="_Toc480487052"/>
      <w:bookmarkStart w:id="3166" w:name="_Toc483668226"/>
      <w:bookmarkStart w:id="3167" w:name="_Toc338944851"/>
      <w:bookmarkStart w:id="3168" w:name="_Toc486580197"/>
      <w:bookmarkStart w:id="3169" w:name="_Toc117350566"/>
      <w:r>
        <w:t xml:space="preserve">23.1  </w:t>
      </w:r>
      <w:r>
        <w:rPr>
          <w:rFonts w:hint="eastAsia"/>
        </w:rPr>
        <w:t>承包人索赔的提出</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pPr>
        <w:spacing w:line="360" w:lineRule="auto"/>
        <w:ind w:firstLine="420" w:firstLineChars="200"/>
        <w:rPr>
          <w:rFonts w:ascii="宋体"/>
          <w:szCs w:val="21"/>
        </w:rPr>
      </w:pPr>
      <w:r>
        <w:rPr>
          <w:rFonts w:hint="eastAsia" w:ascii="宋体" w:hAnsi="宋体"/>
          <w:szCs w:val="21"/>
        </w:rPr>
        <w:t>根据合同约定，承包人认为有权得到追加付款和（或）延长工期的，应按以下程序向发包人提出索赔：</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）承包人应在知道或应当知道索赔事件发生后</w:t>
      </w:r>
      <w:r>
        <w:rPr>
          <w:rFonts w:ascii="宋体" w:hAnsi="宋体"/>
          <w:szCs w:val="21"/>
        </w:rPr>
        <w:t>28</w:t>
      </w:r>
      <w:r>
        <w:rPr>
          <w:rFonts w:hint="eastAsia" w:ascii="宋体" w:hAnsi="宋体"/>
          <w:szCs w:val="21"/>
        </w:rPr>
        <w:t>天内，向监理人递交索赔意向通知书，并说明发生索赔事件的事由。承包人未在前述</w:t>
      </w:r>
      <w:r>
        <w:rPr>
          <w:rFonts w:ascii="宋体" w:hAnsi="宋体"/>
          <w:szCs w:val="21"/>
        </w:rPr>
        <w:t>28</w:t>
      </w:r>
      <w:r>
        <w:rPr>
          <w:rFonts w:hint="eastAsia" w:ascii="宋体" w:hAnsi="宋体"/>
          <w:szCs w:val="21"/>
        </w:rPr>
        <w:t>天内发出索赔意向通知书的，丧失要求追加付款和（或）延长工期的权利；</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）承包人应在发出索赔意向通知书后</w:t>
      </w:r>
      <w:r>
        <w:rPr>
          <w:rFonts w:ascii="宋体" w:hAnsi="宋体"/>
          <w:szCs w:val="21"/>
        </w:rPr>
        <w:t>28</w:t>
      </w:r>
      <w:r>
        <w:rPr>
          <w:rFonts w:hint="eastAsia" w:ascii="宋体" w:hAnsi="宋体"/>
          <w:szCs w:val="21"/>
        </w:rPr>
        <w:t>天内，向监理人正式递交索赔通知书。索赔通知书应详细说明索赔理由以及要求追加的付款金额和（或）延长的工期，并附必要的记录和证明材料；</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）索赔事件具有连续影响的，承包人应按合理时间间隔继续递交延续索赔通知，说明连续影响的实际情况和记录，列出累计的追加付款金额和（或）工期延长天数；</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）在索赔事件影响结束后的</w:t>
      </w:r>
      <w:r>
        <w:rPr>
          <w:rFonts w:ascii="宋体" w:hAnsi="宋体"/>
          <w:szCs w:val="21"/>
        </w:rPr>
        <w:t>28</w:t>
      </w:r>
      <w:r>
        <w:rPr>
          <w:rFonts w:hint="eastAsia" w:ascii="宋体" w:hAnsi="宋体"/>
          <w:szCs w:val="21"/>
        </w:rPr>
        <w:t>天内，承包人应向监理人递交最终索赔通知书，说明最终要求索赔的追加付款金额和延长的工期，并附必要的记录和证明材料。</w:t>
      </w:r>
    </w:p>
    <w:p>
      <w:pPr>
        <w:pStyle w:val="155"/>
        <w:spacing w:before="120" w:after="120"/>
      </w:pPr>
      <w:bookmarkStart w:id="3170" w:name="_Toc144974729"/>
      <w:bookmarkStart w:id="3171" w:name="_Toc483668227"/>
      <w:bookmarkStart w:id="3172" w:name="_Toc486580198"/>
      <w:bookmarkStart w:id="3173" w:name="_Toc152042538"/>
      <w:bookmarkStart w:id="3174" w:name="_Toc179632777"/>
      <w:bookmarkStart w:id="3175" w:name="_Toc490222643"/>
      <w:bookmarkStart w:id="3176" w:name="_Toc342296410"/>
      <w:bookmarkStart w:id="3177" w:name="_Toc489280009"/>
      <w:bookmarkStart w:id="3178" w:name="_Toc480486881"/>
      <w:bookmarkStart w:id="3179" w:name="_Toc152045759"/>
      <w:bookmarkStart w:id="3180" w:name="_Toc338944852"/>
      <w:bookmarkStart w:id="3181" w:name="_Toc480487053"/>
      <w:bookmarkStart w:id="3182" w:name="_Toc117350567"/>
      <w:r>
        <w:t xml:space="preserve">23.2  </w:t>
      </w:r>
      <w:r>
        <w:rPr>
          <w:rFonts w:hint="eastAsia"/>
        </w:rPr>
        <w:t>承包人索赔处理程序</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）监理人收到承包人提交的索赔通知书后，应及时审查索赔通知书的内容、查验承包人的记录和证明材料，必要时监理人可要求承包人提交全部原始记录副本。</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）监理人应按第</w:t>
      </w:r>
      <w:r>
        <w:rPr>
          <w:rFonts w:ascii="宋体" w:hAnsi="宋体"/>
          <w:szCs w:val="21"/>
        </w:rPr>
        <w:t>3.5</w:t>
      </w:r>
      <w:r>
        <w:rPr>
          <w:rFonts w:hint="eastAsia" w:ascii="宋体" w:hAnsi="宋体"/>
          <w:szCs w:val="21"/>
        </w:rPr>
        <w:t>款商定或确定追加的付款和（或）延长的工期，并在收到上述索赔通知书或有关索赔的进一步证明材料后的</w:t>
      </w:r>
      <w:r>
        <w:rPr>
          <w:rFonts w:ascii="宋体" w:hAnsi="宋体"/>
          <w:szCs w:val="21"/>
        </w:rPr>
        <w:t>42</w:t>
      </w:r>
      <w:r>
        <w:rPr>
          <w:rFonts w:hint="eastAsia" w:ascii="宋体" w:hAnsi="宋体"/>
          <w:szCs w:val="21"/>
        </w:rPr>
        <w:t>天内，将索赔处理结果答复承包人。</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）承包人接受索赔处理结果的，发包人应在作出索赔处理结果答复后</w:t>
      </w:r>
      <w:r>
        <w:rPr>
          <w:rFonts w:ascii="宋体" w:hAnsi="宋体"/>
          <w:szCs w:val="21"/>
        </w:rPr>
        <w:t>28</w:t>
      </w:r>
      <w:r>
        <w:rPr>
          <w:rFonts w:hint="eastAsia" w:ascii="宋体" w:hAnsi="宋体"/>
          <w:szCs w:val="21"/>
        </w:rPr>
        <w:t>天内完成赔付。承包人不接受索赔处理结果的，按第</w:t>
      </w:r>
      <w:r>
        <w:rPr>
          <w:rFonts w:ascii="宋体" w:hAnsi="宋体"/>
          <w:szCs w:val="21"/>
        </w:rPr>
        <w:t>24</w:t>
      </w:r>
      <w:r>
        <w:rPr>
          <w:rFonts w:hint="eastAsia" w:ascii="宋体" w:hAnsi="宋体"/>
          <w:szCs w:val="21"/>
        </w:rPr>
        <w:t>条的约定办理。</w:t>
      </w:r>
    </w:p>
    <w:p>
      <w:pPr>
        <w:pStyle w:val="155"/>
        <w:spacing w:before="120" w:after="120"/>
      </w:pPr>
      <w:bookmarkStart w:id="3183" w:name="_Toc144974730"/>
      <w:bookmarkStart w:id="3184" w:name="_Toc152045760"/>
      <w:bookmarkStart w:id="3185" w:name="_Toc490222644"/>
      <w:bookmarkStart w:id="3186" w:name="_Toc483668228"/>
      <w:bookmarkStart w:id="3187" w:name="_Toc486580199"/>
      <w:bookmarkStart w:id="3188" w:name="_Toc179632778"/>
      <w:bookmarkStart w:id="3189" w:name="_Toc480486882"/>
      <w:bookmarkStart w:id="3190" w:name="_Toc152042539"/>
      <w:bookmarkStart w:id="3191" w:name="_Toc489280010"/>
      <w:bookmarkStart w:id="3192" w:name="_Toc480487054"/>
      <w:bookmarkStart w:id="3193" w:name="_Toc338944853"/>
      <w:bookmarkStart w:id="3194" w:name="_Toc342296411"/>
      <w:bookmarkStart w:id="3195" w:name="_Toc117350568"/>
      <w:r>
        <w:t xml:space="preserve">23.3  </w:t>
      </w:r>
      <w:r>
        <w:rPr>
          <w:rFonts w:hint="eastAsia"/>
        </w:rPr>
        <w:t>承包人提出索赔的期限</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pPr>
        <w:spacing w:line="360" w:lineRule="auto"/>
        <w:ind w:firstLine="420" w:firstLineChars="200"/>
        <w:rPr>
          <w:rFonts w:ascii="宋体"/>
          <w:szCs w:val="21"/>
        </w:rPr>
      </w:pPr>
      <w:r>
        <w:rPr>
          <w:rFonts w:ascii="宋体" w:hAnsi="宋体"/>
          <w:szCs w:val="21"/>
        </w:rPr>
        <w:t xml:space="preserve">23.3.1  </w:t>
      </w:r>
      <w:r>
        <w:rPr>
          <w:rFonts w:hint="eastAsia" w:ascii="宋体" w:hAnsi="宋体"/>
          <w:szCs w:val="21"/>
        </w:rPr>
        <w:t>承包人按第</w:t>
      </w:r>
      <w:r>
        <w:rPr>
          <w:rFonts w:ascii="宋体" w:hAnsi="宋体"/>
          <w:szCs w:val="21"/>
        </w:rPr>
        <w:t>17.5</w:t>
      </w:r>
      <w:r>
        <w:rPr>
          <w:rFonts w:hint="eastAsia" w:ascii="宋体" w:hAnsi="宋体"/>
          <w:szCs w:val="21"/>
        </w:rPr>
        <w:t>款的约定接受了竣工付款证书后，应被认为已无权再提出在合同工程接收证书颁发前所发生的任何索赔。</w:t>
      </w:r>
    </w:p>
    <w:p>
      <w:pPr>
        <w:spacing w:line="360" w:lineRule="auto"/>
        <w:ind w:firstLine="420" w:firstLineChars="200"/>
        <w:rPr>
          <w:rFonts w:ascii="宋体"/>
          <w:szCs w:val="21"/>
        </w:rPr>
      </w:pPr>
      <w:r>
        <w:rPr>
          <w:rFonts w:ascii="宋体" w:hAnsi="宋体"/>
          <w:szCs w:val="21"/>
        </w:rPr>
        <w:t xml:space="preserve">23.3.2  </w:t>
      </w:r>
      <w:r>
        <w:rPr>
          <w:rFonts w:hint="eastAsia" w:ascii="宋体" w:hAnsi="宋体"/>
          <w:szCs w:val="21"/>
        </w:rPr>
        <w:t>承包人按第</w:t>
      </w:r>
      <w:r>
        <w:rPr>
          <w:rFonts w:ascii="宋体" w:hAnsi="宋体"/>
          <w:szCs w:val="21"/>
        </w:rPr>
        <w:t>17.6</w:t>
      </w:r>
      <w:r>
        <w:rPr>
          <w:rFonts w:hint="eastAsia" w:ascii="宋体" w:hAnsi="宋体"/>
          <w:szCs w:val="21"/>
        </w:rPr>
        <w:t>款的约定提交的最终结清申请单中，只限于提出工程接收证书颁发后发生的索赔。提出索赔的期限自接受最终结清证书时终止。</w:t>
      </w:r>
      <w:r>
        <w:rPr>
          <w:rFonts w:ascii="宋体" w:hAnsi="宋体"/>
          <w:szCs w:val="21"/>
        </w:rPr>
        <w:t xml:space="preserve"> </w:t>
      </w:r>
    </w:p>
    <w:p>
      <w:pPr>
        <w:pStyle w:val="155"/>
        <w:spacing w:before="120" w:after="120"/>
      </w:pPr>
      <w:bookmarkStart w:id="3196" w:name="_Toc486580200"/>
      <w:bookmarkStart w:id="3197" w:name="_Toc342296412"/>
      <w:bookmarkStart w:id="3198" w:name="_Toc179632779"/>
      <w:bookmarkStart w:id="3199" w:name="_Toc338944854"/>
      <w:bookmarkStart w:id="3200" w:name="_Toc490222645"/>
      <w:bookmarkStart w:id="3201" w:name="_Toc152045761"/>
      <w:bookmarkStart w:id="3202" w:name="_Toc152042540"/>
      <w:bookmarkStart w:id="3203" w:name="_Toc489280011"/>
      <w:bookmarkStart w:id="3204" w:name="_Toc144974731"/>
      <w:bookmarkStart w:id="3205" w:name="_Toc480487055"/>
      <w:bookmarkStart w:id="3206" w:name="_Toc480486883"/>
      <w:bookmarkStart w:id="3207" w:name="_Toc483668229"/>
      <w:bookmarkStart w:id="3208" w:name="_Toc117350569"/>
      <w:r>
        <w:t xml:space="preserve">23.4  </w:t>
      </w:r>
      <w:r>
        <w:rPr>
          <w:rFonts w:hint="eastAsia"/>
        </w:rPr>
        <w:t>发包人的索赔</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pPr>
        <w:spacing w:line="360" w:lineRule="auto"/>
        <w:ind w:firstLine="420" w:firstLineChars="200"/>
        <w:rPr>
          <w:rFonts w:ascii="宋体"/>
          <w:szCs w:val="21"/>
        </w:rPr>
      </w:pPr>
      <w:r>
        <w:rPr>
          <w:rFonts w:ascii="宋体" w:hAnsi="宋体"/>
          <w:szCs w:val="21"/>
        </w:rPr>
        <w:t xml:space="preserve">23.4.1  </w:t>
      </w:r>
      <w:r>
        <w:rPr>
          <w:rFonts w:hint="eastAsia" w:ascii="宋体" w:hAnsi="宋体"/>
          <w:szCs w:val="21"/>
        </w:rPr>
        <w:t>发生索赔事件后，监理人应及时书面通知承包人，详细说明发包人有权得到的索赔金额和（或）延长缺陷责任期的细节和依据。发包人提出索赔的期限和要求与第</w:t>
      </w:r>
      <w:r>
        <w:rPr>
          <w:rFonts w:ascii="宋体" w:hAnsi="宋体"/>
          <w:szCs w:val="21"/>
        </w:rPr>
        <w:t>23.3</w:t>
      </w:r>
      <w:r>
        <w:rPr>
          <w:rFonts w:hint="eastAsia" w:ascii="宋体" w:hAnsi="宋体"/>
          <w:szCs w:val="21"/>
        </w:rPr>
        <w:t>款的约定相同，延长缺陷责任期的通知应在缺陷责任期届满前发出。</w:t>
      </w:r>
    </w:p>
    <w:p>
      <w:pPr>
        <w:spacing w:line="360" w:lineRule="auto"/>
        <w:ind w:firstLine="420" w:firstLineChars="200"/>
        <w:rPr>
          <w:rFonts w:ascii="宋体"/>
          <w:szCs w:val="21"/>
        </w:rPr>
      </w:pPr>
      <w:r>
        <w:rPr>
          <w:rFonts w:ascii="宋体" w:hAnsi="宋体"/>
          <w:szCs w:val="21"/>
        </w:rPr>
        <w:t xml:space="preserve">23.4.2  </w:t>
      </w:r>
      <w:r>
        <w:rPr>
          <w:rFonts w:hint="eastAsia" w:ascii="宋体" w:hAnsi="宋体"/>
          <w:szCs w:val="21"/>
        </w:rPr>
        <w:t>监理人按第</w:t>
      </w:r>
      <w:r>
        <w:rPr>
          <w:rFonts w:ascii="宋体" w:hAnsi="宋体"/>
          <w:szCs w:val="21"/>
        </w:rPr>
        <w:t>3.5</w:t>
      </w:r>
      <w:r>
        <w:rPr>
          <w:rFonts w:hint="eastAsia" w:ascii="宋体" w:hAnsi="宋体"/>
          <w:szCs w:val="21"/>
        </w:rPr>
        <w:t>款商定或确定发包人从承包人处得到赔付的金额和（或）缺陷责任期的延长期。承包人应付给发包人的金额可从拟支付给承包人的合同价款中扣除，或由承包人以其他方式支付给发包人。</w:t>
      </w:r>
    </w:p>
    <w:p>
      <w:pPr>
        <w:pStyle w:val="144"/>
        <w:spacing w:before="120" w:after="120"/>
      </w:pPr>
      <w:bookmarkStart w:id="3209" w:name="_Toc342296413"/>
      <w:bookmarkStart w:id="3210" w:name="_Toc480486884"/>
      <w:bookmarkStart w:id="3211" w:name="_Toc483668230"/>
      <w:bookmarkStart w:id="3212" w:name="_Toc480487056"/>
      <w:bookmarkStart w:id="3213" w:name="_Toc486580201"/>
      <w:bookmarkStart w:id="3214" w:name="_Toc489280012"/>
      <w:bookmarkStart w:id="3215" w:name="_Toc338944855"/>
      <w:bookmarkStart w:id="3216" w:name="_Toc490222646"/>
      <w:bookmarkStart w:id="3217" w:name="_Toc117350570"/>
      <w:r>
        <w:t>24.</w:t>
      </w:r>
      <w:r>
        <w:rPr>
          <w:rFonts w:hint="eastAsia"/>
        </w:rPr>
        <w:t>争议的解决</w:t>
      </w:r>
      <w:bookmarkEnd w:id="3209"/>
      <w:bookmarkEnd w:id="3210"/>
      <w:bookmarkEnd w:id="3211"/>
      <w:bookmarkEnd w:id="3212"/>
      <w:bookmarkEnd w:id="3213"/>
      <w:bookmarkEnd w:id="3214"/>
      <w:bookmarkEnd w:id="3215"/>
      <w:bookmarkEnd w:id="3216"/>
      <w:bookmarkEnd w:id="3217"/>
    </w:p>
    <w:p>
      <w:pPr>
        <w:pStyle w:val="155"/>
        <w:spacing w:before="120" w:after="120"/>
      </w:pPr>
      <w:bookmarkStart w:id="3218" w:name="_Toc483668231"/>
      <w:bookmarkStart w:id="3219" w:name="_Toc338944856"/>
      <w:bookmarkStart w:id="3220" w:name="_Toc342296414"/>
      <w:bookmarkStart w:id="3221" w:name="_Toc490222647"/>
      <w:bookmarkStart w:id="3222" w:name="_Toc480487057"/>
      <w:bookmarkStart w:id="3223" w:name="_Toc480486885"/>
      <w:bookmarkStart w:id="3224" w:name="_Toc486580202"/>
      <w:bookmarkStart w:id="3225" w:name="_Toc489280013"/>
      <w:bookmarkStart w:id="3226" w:name="_Toc117350571"/>
      <w:r>
        <w:t xml:space="preserve">24.1  </w:t>
      </w:r>
      <w:r>
        <w:rPr>
          <w:rFonts w:hint="eastAsia"/>
        </w:rPr>
        <w:t>争议的解决方式</w:t>
      </w:r>
      <w:bookmarkEnd w:id="3218"/>
      <w:bookmarkEnd w:id="3219"/>
      <w:bookmarkEnd w:id="3220"/>
      <w:bookmarkEnd w:id="3221"/>
      <w:bookmarkEnd w:id="3222"/>
      <w:bookmarkEnd w:id="3223"/>
      <w:bookmarkEnd w:id="3224"/>
      <w:bookmarkEnd w:id="3225"/>
      <w:bookmarkEnd w:id="3226"/>
    </w:p>
    <w:p>
      <w:pPr>
        <w:spacing w:line="360" w:lineRule="auto"/>
        <w:ind w:firstLine="420" w:firstLineChars="200"/>
        <w:rPr>
          <w:rFonts w:ascii="宋体"/>
          <w:szCs w:val="21"/>
        </w:rPr>
      </w:pPr>
      <w:r>
        <w:rPr>
          <w:rFonts w:hint="eastAsia" w:ascii="宋体" w:hAnsi="宋体"/>
          <w:szCs w:val="21"/>
        </w:rPr>
        <w:t>发包人和承包人在履行合同中发生争议的，可以友好协商解决或者提请争议评审组评审。合同当事人友好协商解决不成、不愿提请争议评审或者不接受争议评审组意见的，可在合同条款专用部分中约定下列一种方式解决。</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）向约定的仲裁委员会申请仲裁；</w:t>
      </w:r>
    </w:p>
    <w:p>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）向有管辖权的人民法院提起诉讼。</w:t>
      </w:r>
    </w:p>
    <w:p>
      <w:pPr>
        <w:pStyle w:val="155"/>
        <w:spacing w:before="120" w:after="120"/>
      </w:pPr>
      <w:bookmarkStart w:id="3227" w:name="_Toc480487058"/>
      <w:bookmarkStart w:id="3228" w:name="_Toc480486886"/>
      <w:bookmarkStart w:id="3229" w:name="_Toc342296415"/>
      <w:bookmarkStart w:id="3230" w:name="_Toc490222648"/>
      <w:bookmarkStart w:id="3231" w:name="_Toc338944857"/>
      <w:bookmarkStart w:id="3232" w:name="_Toc486580203"/>
      <w:bookmarkStart w:id="3233" w:name="_Toc483668232"/>
      <w:bookmarkStart w:id="3234" w:name="_Toc489280014"/>
      <w:bookmarkStart w:id="3235" w:name="_Toc117350572"/>
      <w:r>
        <w:t xml:space="preserve">24.2  </w:t>
      </w:r>
      <w:r>
        <w:rPr>
          <w:rFonts w:hint="eastAsia"/>
        </w:rPr>
        <w:t>友好解决</w:t>
      </w:r>
      <w:bookmarkEnd w:id="3227"/>
      <w:bookmarkEnd w:id="3228"/>
      <w:bookmarkEnd w:id="3229"/>
      <w:bookmarkEnd w:id="3230"/>
      <w:bookmarkEnd w:id="3231"/>
      <w:bookmarkEnd w:id="3232"/>
      <w:bookmarkEnd w:id="3233"/>
      <w:bookmarkEnd w:id="3234"/>
      <w:bookmarkEnd w:id="3235"/>
    </w:p>
    <w:p>
      <w:pPr>
        <w:spacing w:line="360" w:lineRule="auto"/>
        <w:ind w:firstLine="420" w:firstLineChars="200"/>
        <w:rPr>
          <w:rFonts w:ascii="宋体"/>
          <w:szCs w:val="21"/>
        </w:rPr>
      </w:pPr>
      <w:r>
        <w:rPr>
          <w:rFonts w:hint="eastAsia" w:ascii="宋体" w:hAnsi="宋体"/>
          <w:szCs w:val="21"/>
        </w:rPr>
        <w:t>在提请争议评审、仲裁或者诉讼前，以及在争议评审、仲裁或诉讼过程中，发包人和承包人均可共同努力友好协商解决争议。</w:t>
      </w:r>
    </w:p>
    <w:p>
      <w:pPr>
        <w:pStyle w:val="155"/>
        <w:spacing w:before="120" w:after="120"/>
      </w:pPr>
      <w:bookmarkStart w:id="3236" w:name="_Toc490222649"/>
      <w:bookmarkStart w:id="3237" w:name="_Toc480487059"/>
      <w:bookmarkStart w:id="3238" w:name="_Toc489280015"/>
      <w:bookmarkStart w:id="3239" w:name="_Toc342296416"/>
      <w:bookmarkStart w:id="3240" w:name="_Toc480486887"/>
      <w:bookmarkStart w:id="3241" w:name="_Toc486580204"/>
      <w:bookmarkStart w:id="3242" w:name="_Toc338944858"/>
      <w:bookmarkStart w:id="3243" w:name="_Toc483668233"/>
      <w:bookmarkStart w:id="3244" w:name="_Toc117350573"/>
      <w:r>
        <w:t xml:space="preserve">24.3  </w:t>
      </w:r>
      <w:r>
        <w:rPr>
          <w:rFonts w:hint="eastAsia"/>
        </w:rPr>
        <w:t>争议评审</w:t>
      </w:r>
      <w:bookmarkEnd w:id="3236"/>
      <w:bookmarkEnd w:id="3237"/>
      <w:bookmarkEnd w:id="3238"/>
      <w:bookmarkEnd w:id="3239"/>
      <w:bookmarkEnd w:id="3240"/>
      <w:bookmarkEnd w:id="3241"/>
      <w:bookmarkEnd w:id="3242"/>
      <w:bookmarkEnd w:id="3243"/>
      <w:bookmarkEnd w:id="3244"/>
    </w:p>
    <w:p>
      <w:pPr>
        <w:spacing w:line="360" w:lineRule="auto"/>
        <w:ind w:firstLine="420" w:firstLineChars="200"/>
        <w:rPr>
          <w:rFonts w:ascii="宋体"/>
          <w:szCs w:val="21"/>
        </w:rPr>
      </w:pPr>
      <w:r>
        <w:rPr>
          <w:rFonts w:ascii="宋体" w:hAnsi="宋体"/>
          <w:szCs w:val="21"/>
        </w:rPr>
        <w:t xml:space="preserve">24.3.1  </w:t>
      </w:r>
      <w:r>
        <w:rPr>
          <w:rFonts w:hint="eastAsia" w:ascii="宋体" w:hAnsi="宋体"/>
          <w:szCs w:val="21"/>
        </w:rPr>
        <w:t>采用争议评审的，发包人和承包人应在开工日后的</w:t>
      </w:r>
      <w:r>
        <w:rPr>
          <w:rFonts w:ascii="宋体" w:hAnsi="宋体"/>
          <w:szCs w:val="21"/>
        </w:rPr>
        <w:t>28</w:t>
      </w:r>
      <w:r>
        <w:rPr>
          <w:rFonts w:hint="eastAsia" w:ascii="宋体" w:hAnsi="宋体"/>
          <w:szCs w:val="21"/>
        </w:rPr>
        <w:t>天内或在争议发生后，协商成立争议评审组。争议评审组由有合同管理和工程实践经验的专家组成。</w:t>
      </w:r>
    </w:p>
    <w:p>
      <w:pPr>
        <w:spacing w:line="360" w:lineRule="auto"/>
        <w:ind w:firstLine="420" w:firstLineChars="200"/>
        <w:rPr>
          <w:rFonts w:ascii="宋体"/>
          <w:szCs w:val="21"/>
        </w:rPr>
      </w:pPr>
      <w:r>
        <w:rPr>
          <w:rFonts w:ascii="宋体" w:hAnsi="宋体"/>
          <w:szCs w:val="21"/>
        </w:rPr>
        <w:t xml:space="preserve">24.3.2  </w:t>
      </w:r>
      <w:r>
        <w:rPr>
          <w:rFonts w:hint="eastAsia" w:ascii="宋体" w:hAnsi="宋体"/>
          <w:szCs w:val="21"/>
        </w:rPr>
        <w:t>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rFonts w:ascii="宋体"/>
          <w:szCs w:val="21"/>
        </w:rPr>
      </w:pPr>
      <w:r>
        <w:rPr>
          <w:rFonts w:ascii="宋体" w:hAnsi="宋体"/>
          <w:szCs w:val="21"/>
        </w:rPr>
        <w:t xml:space="preserve">24.3.3  </w:t>
      </w:r>
      <w:r>
        <w:rPr>
          <w:rFonts w:hint="eastAsia" w:ascii="宋体" w:hAnsi="宋体"/>
          <w:szCs w:val="21"/>
        </w:rPr>
        <w:t>被申请人在收到申请人评审申请报告副本后的</w:t>
      </w:r>
      <w:r>
        <w:rPr>
          <w:rFonts w:ascii="宋体" w:hAnsi="宋体"/>
          <w:szCs w:val="21"/>
        </w:rPr>
        <w:t>28</w:t>
      </w:r>
      <w:r>
        <w:rPr>
          <w:rFonts w:hint="eastAsia" w:ascii="宋体" w:hAnsi="宋体"/>
          <w:szCs w:val="21"/>
        </w:rPr>
        <w:t>天内，向争议评审组提交一份答辩报告，并附证明材料。被申请人应将答辩报告的副本同时提交给申请人和监理人。</w:t>
      </w:r>
    </w:p>
    <w:p>
      <w:pPr>
        <w:spacing w:line="360" w:lineRule="auto"/>
        <w:ind w:firstLine="420" w:firstLineChars="200"/>
        <w:rPr>
          <w:rFonts w:ascii="宋体"/>
          <w:szCs w:val="21"/>
        </w:rPr>
      </w:pPr>
      <w:r>
        <w:rPr>
          <w:rFonts w:ascii="宋体" w:hAnsi="宋体"/>
          <w:szCs w:val="21"/>
        </w:rPr>
        <w:t xml:space="preserve">24.3.4  </w:t>
      </w:r>
      <w:r>
        <w:rPr>
          <w:rFonts w:hint="eastAsia" w:ascii="宋体" w:hAnsi="宋体"/>
          <w:szCs w:val="21"/>
        </w:rPr>
        <w:t>争议评审组在收到合同双方报告后的</w:t>
      </w:r>
      <w:r>
        <w:rPr>
          <w:rFonts w:ascii="宋体" w:hAnsi="宋体"/>
          <w:szCs w:val="21"/>
        </w:rPr>
        <w:t>14</w:t>
      </w:r>
      <w:r>
        <w:rPr>
          <w:rFonts w:hint="eastAsia" w:ascii="宋体" w:hAnsi="宋体"/>
          <w:szCs w:val="21"/>
        </w:rPr>
        <w:t>天内，邀请双方代表和有关人员在合同约定的期限内举行调查会，向双方调查争议细节；必要时争议评审组可要求双方进一步提供补充材料。举行调查会的期限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24.3.5  </w:t>
      </w:r>
      <w:r>
        <w:rPr>
          <w:rFonts w:hint="eastAsia" w:ascii="宋体" w:hAnsi="宋体"/>
          <w:szCs w:val="21"/>
        </w:rPr>
        <w:t>在调查会结束后的</w:t>
      </w:r>
      <w:r>
        <w:rPr>
          <w:rFonts w:ascii="宋体" w:hAnsi="宋体"/>
          <w:szCs w:val="21"/>
        </w:rPr>
        <w:t>14</w:t>
      </w:r>
      <w:r>
        <w:rPr>
          <w:rFonts w:hint="eastAsia" w:ascii="宋体" w:hAnsi="宋体"/>
          <w:szCs w:val="21"/>
        </w:rPr>
        <w:t>天内，争议评审组应在不受任何干扰的情况下进行独立、公正的评审，在合同约定的期限内作出书面评审意见，并说明理由。在争议评审期间，争议双方暂按总监理工程师的确定执行。争议评审组作出争议评审意见的期限</w:t>
      </w:r>
      <w:r>
        <w:rPr>
          <w:rFonts w:hint="eastAsia" w:ascii="黑体" w:hAnsi="黑体" w:eastAsia="黑体"/>
          <w:szCs w:val="21"/>
        </w:rPr>
        <w:t>见合同条款专用部分</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 xml:space="preserve">24.3.6  </w:t>
      </w:r>
      <w:r>
        <w:rPr>
          <w:rFonts w:hint="eastAsia" w:ascii="宋体" w:hAnsi="宋体"/>
          <w:szCs w:val="21"/>
        </w:rPr>
        <w:t>发包人和承包人接受评审意见的，由监理人根据评审意见拟定执行协议，经争议双方签字后作为合同的补充文件，并遵照执行。</w:t>
      </w:r>
    </w:p>
    <w:p>
      <w:pPr>
        <w:spacing w:line="360" w:lineRule="auto"/>
        <w:ind w:firstLine="420" w:firstLineChars="200"/>
        <w:rPr>
          <w:rFonts w:ascii="宋体"/>
          <w:szCs w:val="21"/>
        </w:rPr>
      </w:pPr>
      <w:r>
        <w:rPr>
          <w:rFonts w:ascii="宋体" w:hAnsi="宋体"/>
          <w:szCs w:val="21"/>
        </w:rPr>
        <w:t xml:space="preserve">24.3.7  </w:t>
      </w:r>
      <w:r>
        <w:rPr>
          <w:rFonts w:hint="eastAsia" w:ascii="宋体" w:hAnsi="宋体"/>
          <w:szCs w:val="21"/>
        </w:rPr>
        <w:t>发包人或承包人不接受评审意见，并要求提交仲裁或提起诉讼的，应在收到评审意见后的</w:t>
      </w:r>
      <w:r>
        <w:rPr>
          <w:rFonts w:ascii="宋体" w:hAnsi="宋体"/>
          <w:szCs w:val="21"/>
        </w:rPr>
        <w:t>14</w:t>
      </w:r>
      <w:r>
        <w:rPr>
          <w:rFonts w:hint="eastAsia" w:ascii="宋体" w:hAnsi="宋体"/>
          <w:szCs w:val="21"/>
        </w:rPr>
        <w:t>天内将仲裁或起诉意向书面通知另一方，并抄送监理人，但在仲裁或诉讼结束前应暂按总监理工程师的确定执行。</w:t>
      </w:r>
    </w:p>
    <w:bookmarkEnd w:id="1489"/>
    <w:bookmarkEnd w:id="1490"/>
    <w:bookmarkEnd w:id="1491"/>
    <w:bookmarkEnd w:id="1492"/>
    <w:p>
      <w:pPr>
        <w:spacing w:line="360" w:lineRule="auto"/>
        <w:rPr>
          <w:rFonts w:ascii="宋体" w:cs="Arial"/>
        </w:rPr>
      </w:pPr>
      <w:r>
        <w:rPr>
          <w:rFonts w:ascii="宋体" w:cs="Arial"/>
        </w:rPr>
        <w:br w:type="page"/>
      </w:r>
    </w:p>
    <w:p>
      <w:pPr>
        <w:spacing w:line="360" w:lineRule="auto"/>
        <w:rPr>
          <w:rFonts w:ascii="宋体" w:cs="Arial"/>
        </w:rPr>
      </w:pPr>
    </w:p>
    <w:p>
      <w:pPr>
        <w:spacing w:line="360" w:lineRule="auto"/>
        <w:rPr>
          <w:rFonts w:ascii="宋体" w:cs="Arial"/>
        </w:rPr>
        <w:sectPr>
          <w:headerReference r:id="rId21" w:type="default"/>
          <w:pgSz w:w="11906" w:h="16838"/>
          <w:pgMar w:top="1440" w:right="1797" w:bottom="1440" w:left="1797" w:header="851" w:footer="992" w:gutter="0"/>
          <w:cols w:space="720" w:num="1"/>
          <w:docGrid w:linePitch="286" w:charSpace="0"/>
        </w:sectPr>
      </w:pPr>
    </w:p>
    <w:p>
      <w:pPr>
        <w:pStyle w:val="39"/>
        <w:spacing w:before="3600" w:beforeLines="1500"/>
      </w:pPr>
      <w:bookmarkStart w:id="3245" w:name="_Toc490222650"/>
      <w:bookmarkStart w:id="3246" w:name="_Toc489280016"/>
      <w:bookmarkStart w:id="3247" w:name="_Toc117350574"/>
      <w:bookmarkStart w:id="3248" w:name="_Toc486580205"/>
      <w:r>
        <w:rPr>
          <w:rFonts w:hint="eastAsia"/>
        </w:rPr>
        <w:t>第五章</w:t>
      </w:r>
      <w:r>
        <w:t xml:space="preserve">  </w:t>
      </w:r>
      <w:r>
        <w:rPr>
          <w:rFonts w:hint="eastAsia"/>
        </w:rPr>
        <w:t>技术标准和要求通用部分</w:t>
      </w:r>
      <w:bookmarkEnd w:id="3245"/>
      <w:bookmarkEnd w:id="3246"/>
      <w:bookmarkEnd w:id="3247"/>
      <w:bookmarkEnd w:id="3248"/>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r>
        <w:rPr>
          <w:b/>
          <w:sz w:val="52"/>
          <w:szCs w:val="52"/>
        </w:rPr>
        <w:br w:type="page"/>
      </w:r>
    </w:p>
    <w:p>
      <w:pPr>
        <w:widowControl/>
        <w:jc w:val="left"/>
        <w:rPr>
          <w:rFonts w:ascii="宋体"/>
        </w:rPr>
      </w:pPr>
      <w:r>
        <w:rPr>
          <w:b/>
          <w:sz w:val="52"/>
          <w:szCs w:val="52"/>
        </w:rPr>
        <w:br w:type="page"/>
      </w:r>
    </w:p>
    <w:p>
      <w:pPr>
        <w:jc w:val="center"/>
        <w:rPr>
          <w:b/>
          <w:sz w:val="18"/>
          <w:szCs w:val="18"/>
        </w:rPr>
      </w:pPr>
      <w:bookmarkStart w:id="3249" w:name="_Toc476479432"/>
      <w:bookmarkStart w:id="3250" w:name="_Toc480304314"/>
      <w:bookmarkStart w:id="3251" w:name="_Toc486580206"/>
      <w:bookmarkStart w:id="3252" w:name="_Toc497235438"/>
      <w:bookmarkStart w:id="3253" w:name="_Toc241459788"/>
      <w:bookmarkStart w:id="3254" w:name="_Toc490222651"/>
      <w:bookmarkStart w:id="3255" w:name="_Toc342296545"/>
    </w:p>
    <w:p>
      <w:pPr>
        <w:jc w:val="center"/>
        <w:rPr>
          <w:b/>
          <w:sz w:val="32"/>
          <w:szCs w:val="32"/>
        </w:rPr>
      </w:pPr>
      <w:r>
        <w:rPr>
          <w:rFonts w:hint="eastAsia"/>
          <w:b/>
          <w:sz w:val="32"/>
          <w:szCs w:val="32"/>
        </w:rPr>
        <w:t>第五章</w:t>
      </w:r>
      <w:r>
        <w:rPr>
          <w:b/>
          <w:sz w:val="32"/>
          <w:szCs w:val="32"/>
        </w:rPr>
        <w:t xml:space="preserve"> </w:t>
      </w:r>
      <w:r>
        <w:rPr>
          <w:rFonts w:hint="eastAsia"/>
          <w:b/>
          <w:sz w:val="32"/>
          <w:szCs w:val="32"/>
        </w:rPr>
        <w:t>技术标准和要求</w:t>
      </w:r>
      <w:bookmarkEnd w:id="3249"/>
      <w:bookmarkEnd w:id="3250"/>
      <w:bookmarkEnd w:id="3251"/>
      <w:bookmarkEnd w:id="3252"/>
      <w:bookmarkEnd w:id="3253"/>
      <w:bookmarkEnd w:id="3254"/>
      <w:bookmarkEnd w:id="3255"/>
    </w:p>
    <w:p>
      <w:pPr>
        <w:spacing w:line="360" w:lineRule="auto"/>
        <w:jc w:val="center"/>
        <w:rPr>
          <w:rFonts w:ascii="黑体" w:hAnsi="黑体" w:eastAsia="黑体"/>
          <w:sz w:val="28"/>
          <w:szCs w:val="28"/>
        </w:rPr>
      </w:pPr>
    </w:p>
    <w:p>
      <w:pPr>
        <w:pStyle w:val="144"/>
        <w:spacing w:before="120" w:after="120"/>
      </w:pPr>
      <w:bookmarkStart w:id="3256" w:name="_Toc483580894"/>
      <w:bookmarkStart w:id="3257" w:name="_Toc489280017"/>
      <w:bookmarkStart w:id="3258" w:name="_Toc117350575"/>
      <w:bookmarkStart w:id="3259" w:name="_Toc486580207"/>
      <w:bookmarkStart w:id="3260" w:name="_Toc490222652"/>
      <w:r>
        <w:t>1.</w:t>
      </w:r>
      <w:r>
        <w:rPr>
          <w:rFonts w:hint="eastAsia"/>
        </w:rPr>
        <w:t>工程说明</w:t>
      </w:r>
      <w:bookmarkEnd w:id="3256"/>
      <w:bookmarkEnd w:id="3257"/>
      <w:bookmarkEnd w:id="3258"/>
      <w:bookmarkEnd w:id="3259"/>
      <w:bookmarkEnd w:id="3260"/>
    </w:p>
    <w:p>
      <w:pPr>
        <w:pStyle w:val="155"/>
        <w:spacing w:before="120" w:after="120"/>
      </w:pPr>
      <w:bookmarkStart w:id="3261" w:name="_Toc489280018"/>
      <w:bookmarkStart w:id="3262" w:name="_Toc483580895"/>
      <w:bookmarkStart w:id="3263" w:name="_Toc117350576"/>
      <w:bookmarkStart w:id="3264" w:name="_Toc486580208"/>
      <w:r>
        <w:t xml:space="preserve">1.1  </w:t>
      </w:r>
      <w:r>
        <w:rPr>
          <w:rFonts w:hint="eastAsia"/>
        </w:rPr>
        <w:t>工程概况</w:t>
      </w:r>
      <w:bookmarkEnd w:id="3261"/>
      <w:bookmarkEnd w:id="3262"/>
      <w:bookmarkEnd w:id="3263"/>
      <w:bookmarkEnd w:id="3264"/>
    </w:p>
    <w:p>
      <w:pPr>
        <w:spacing w:line="360" w:lineRule="auto"/>
        <w:ind w:firstLine="630" w:firstLineChars="300"/>
        <w:outlineLvl w:val="3"/>
        <w:rPr>
          <w:rFonts w:ascii="宋体"/>
        </w:rPr>
      </w:pPr>
      <w:bookmarkStart w:id="3265" w:name="_Toc497235441"/>
      <w:r>
        <w:rPr>
          <w:rFonts w:ascii="宋体" w:hAnsi="宋体"/>
        </w:rPr>
        <w:t xml:space="preserve">1.1.1  </w:t>
      </w:r>
      <w:r>
        <w:rPr>
          <w:rFonts w:hint="eastAsia" w:ascii="宋体" w:hAnsi="宋体"/>
        </w:rPr>
        <w:t>本工程基本情况</w:t>
      </w:r>
      <w:r>
        <w:rPr>
          <w:rFonts w:hint="eastAsia" w:ascii="黑体" w:hAnsi="黑体" w:eastAsia="黑体"/>
        </w:rPr>
        <w:t>见技术标准和要求专用部分。</w:t>
      </w:r>
      <w:bookmarkEnd w:id="3265"/>
    </w:p>
    <w:p>
      <w:pPr>
        <w:spacing w:line="360" w:lineRule="auto"/>
        <w:ind w:firstLine="630" w:firstLineChars="300"/>
        <w:outlineLvl w:val="3"/>
        <w:rPr>
          <w:rFonts w:ascii="宋体"/>
        </w:rPr>
      </w:pPr>
      <w:bookmarkStart w:id="3266" w:name="_Toc497235442"/>
      <w:r>
        <w:rPr>
          <w:rFonts w:ascii="宋体" w:hAnsi="宋体"/>
        </w:rPr>
        <w:t xml:space="preserve">1.1.2  </w:t>
      </w:r>
      <w:r>
        <w:rPr>
          <w:rFonts w:hint="eastAsia" w:ascii="宋体" w:hAnsi="宋体"/>
        </w:rPr>
        <w:t>本工程施工场地（现场）具体地理位置</w:t>
      </w:r>
      <w:r>
        <w:rPr>
          <w:rFonts w:hint="eastAsia" w:ascii="黑体" w:hAnsi="黑体" w:eastAsia="黑体"/>
        </w:rPr>
        <w:t>见技术标准和要求专用部分</w:t>
      </w:r>
      <w:r>
        <w:rPr>
          <w:rFonts w:hint="eastAsia" w:ascii="宋体" w:hAnsi="宋体"/>
        </w:rPr>
        <w:t>。</w:t>
      </w:r>
      <w:bookmarkEnd w:id="3266"/>
    </w:p>
    <w:p>
      <w:pPr>
        <w:pStyle w:val="155"/>
        <w:spacing w:before="120" w:after="120"/>
      </w:pPr>
      <w:bookmarkStart w:id="3267" w:name="_Toc117350577"/>
      <w:bookmarkStart w:id="3268" w:name="_Toc483580896"/>
      <w:bookmarkStart w:id="3269" w:name="_Toc486580209"/>
      <w:bookmarkStart w:id="3270" w:name="_Toc489280019"/>
      <w:r>
        <w:t xml:space="preserve">1.2  </w:t>
      </w:r>
      <w:r>
        <w:rPr>
          <w:rFonts w:hint="eastAsia"/>
        </w:rPr>
        <w:t>现场条件和周围环境</w:t>
      </w:r>
      <w:bookmarkEnd w:id="3267"/>
      <w:bookmarkEnd w:id="3268"/>
      <w:bookmarkEnd w:id="3269"/>
      <w:bookmarkEnd w:id="3270"/>
    </w:p>
    <w:p>
      <w:pPr>
        <w:spacing w:line="360" w:lineRule="auto"/>
        <w:ind w:firstLine="630" w:firstLineChars="300"/>
        <w:outlineLvl w:val="3"/>
        <w:rPr>
          <w:rFonts w:ascii="宋体"/>
        </w:rPr>
      </w:pPr>
      <w:bookmarkStart w:id="3271" w:name="_Toc497235444"/>
      <w:r>
        <w:rPr>
          <w:rFonts w:ascii="宋体" w:hAnsi="宋体"/>
        </w:rPr>
        <w:t xml:space="preserve">1.2.1  </w:t>
      </w:r>
      <w:r>
        <w:rPr>
          <w:rFonts w:hint="eastAsia" w:ascii="宋体" w:hAnsi="宋体"/>
        </w:rPr>
        <w:t>本工程施工场地（现场）已经具备施工条件。施工场地（现场）临时水源接口位置、临时电源接口位置、临时排污口位置、建筑红线位置、道路交通和出入口、以及施工场地（现场）和周围环境等情况见本章附图：施工场地（现场）现状平面图。</w:t>
      </w:r>
      <w:bookmarkEnd w:id="3271"/>
    </w:p>
    <w:p>
      <w:pPr>
        <w:spacing w:line="360" w:lineRule="auto"/>
        <w:ind w:firstLine="630" w:firstLineChars="300"/>
        <w:outlineLvl w:val="3"/>
        <w:rPr>
          <w:rFonts w:ascii="宋体"/>
        </w:rPr>
      </w:pPr>
      <w:bookmarkStart w:id="3272" w:name="_Toc497235445"/>
      <w:r>
        <w:rPr>
          <w:rFonts w:ascii="宋体" w:hAnsi="宋体"/>
        </w:rPr>
        <w:t xml:space="preserve">1.2.2  </w:t>
      </w:r>
      <w:r>
        <w:rPr>
          <w:rFonts w:hint="eastAsia" w:ascii="宋体" w:hAnsi="宋体"/>
        </w:rPr>
        <w:t>施工场地（现场）临时供水管径</w:t>
      </w:r>
      <w:r>
        <w:rPr>
          <w:rFonts w:hint="eastAsia" w:ascii="黑体" w:hAnsi="黑体" w:eastAsia="黑体"/>
        </w:rPr>
        <w:t>见技术标准和要求专用部分。</w:t>
      </w:r>
      <w:bookmarkEnd w:id="3272"/>
    </w:p>
    <w:p>
      <w:pPr>
        <w:spacing w:line="360" w:lineRule="auto"/>
        <w:ind w:firstLine="630" w:firstLineChars="300"/>
        <w:outlineLvl w:val="3"/>
        <w:rPr>
          <w:rFonts w:ascii="宋体"/>
        </w:rPr>
      </w:pPr>
      <w:bookmarkStart w:id="3273" w:name="_Toc497235446"/>
      <w:r>
        <w:rPr>
          <w:rFonts w:hint="eastAsia" w:ascii="宋体" w:hAnsi="宋体"/>
        </w:rPr>
        <w:t>施工场地（现场）临时排污管径</w:t>
      </w:r>
      <w:r>
        <w:rPr>
          <w:rFonts w:hint="eastAsia" w:ascii="黑体" w:hAnsi="黑体" w:eastAsia="黑体"/>
        </w:rPr>
        <w:t>见技术标准和要求专用部分。</w:t>
      </w:r>
      <w:bookmarkEnd w:id="3273"/>
    </w:p>
    <w:p>
      <w:pPr>
        <w:spacing w:line="360" w:lineRule="auto"/>
        <w:ind w:firstLine="630" w:firstLineChars="300"/>
        <w:outlineLvl w:val="3"/>
        <w:rPr>
          <w:rFonts w:ascii="宋体"/>
        </w:rPr>
      </w:pPr>
      <w:bookmarkStart w:id="3274" w:name="_Toc497235447"/>
      <w:r>
        <w:rPr>
          <w:rFonts w:hint="eastAsia" w:ascii="宋体" w:hAnsi="宋体"/>
        </w:rPr>
        <w:t>施工场地（现场）临时雨水管径</w:t>
      </w:r>
      <w:r>
        <w:rPr>
          <w:rFonts w:hint="eastAsia" w:ascii="黑体" w:hAnsi="黑体" w:eastAsia="黑体"/>
        </w:rPr>
        <w:t>见技术标准和要求专用部分。</w:t>
      </w:r>
      <w:bookmarkEnd w:id="3274"/>
    </w:p>
    <w:p>
      <w:pPr>
        <w:spacing w:line="360" w:lineRule="auto"/>
        <w:ind w:firstLine="630" w:firstLineChars="300"/>
        <w:outlineLvl w:val="3"/>
        <w:rPr>
          <w:rFonts w:ascii="宋体"/>
        </w:rPr>
      </w:pPr>
      <w:bookmarkStart w:id="3275" w:name="_Toc497235448"/>
      <w:r>
        <w:rPr>
          <w:rFonts w:hint="eastAsia" w:ascii="宋体" w:hAnsi="宋体"/>
        </w:rPr>
        <w:t>施工场地（现场）临时供电容量（变压器输出功率）</w:t>
      </w:r>
      <w:r>
        <w:rPr>
          <w:rFonts w:hint="eastAsia" w:ascii="黑体" w:hAnsi="黑体" w:eastAsia="黑体"/>
        </w:rPr>
        <w:t>见技术标准和要求专用部分。</w:t>
      </w:r>
      <w:bookmarkEnd w:id="3275"/>
    </w:p>
    <w:p>
      <w:pPr>
        <w:spacing w:line="360" w:lineRule="auto"/>
        <w:ind w:firstLine="630" w:firstLineChars="300"/>
        <w:outlineLvl w:val="3"/>
        <w:rPr>
          <w:rFonts w:ascii="宋体"/>
        </w:rPr>
      </w:pPr>
      <w:bookmarkStart w:id="3276" w:name="_Toc497235449"/>
      <w:r>
        <w:rPr>
          <w:rFonts w:ascii="宋体" w:hAnsi="宋体"/>
        </w:rPr>
        <w:t xml:space="preserve">1.2.3  </w:t>
      </w:r>
      <w:r>
        <w:rPr>
          <w:rFonts w:hint="eastAsia" w:ascii="宋体" w:hAnsi="宋体"/>
        </w:rPr>
        <w:t>现场条件和周围环境的其他资料和信息数据</w:t>
      </w:r>
      <w:r>
        <w:rPr>
          <w:rFonts w:hint="eastAsia" w:ascii="黑体" w:hAnsi="黑体" w:eastAsia="黑体"/>
        </w:rPr>
        <w:t>见技术标准和要求专用部分。</w:t>
      </w:r>
      <w:bookmarkEnd w:id="3276"/>
    </w:p>
    <w:p>
      <w:pPr>
        <w:spacing w:line="360" w:lineRule="auto"/>
        <w:ind w:firstLine="630" w:firstLineChars="300"/>
        <w:outlineLvl w:val="3"/>
        <w:rPr>
          <w:rFonts w:ascii="宋体"/>
        </w:rPr>
      </w:pPr>
      <w:bookmarkStart w:id="3277" w:name="_Toc497235450"/>
      <w:r>
        <w:rPr>
          <w:rFonts w:ascii="宋体" w:hAnsi="宋体"/>
        </w:rPr>
        <w:t xml:space="preserve">1.2.4  </w:t>
      </w:r>
      <w:r>
        <w:rPr>
          <w:rFonts w:hint="eastAsia" w:ascii="宋体" w:hAnsi="宋体"/>
        </w:rPr>
        <w:t>承包人被认为已在本工程投标阶段踏勘现场时充分了解本工程现场条件和周围环境，并已在其投标时就此给予了充分的考虑。</w:t>
      </w:r>
      <w:bookmarkEnd w:id="3277"/>
    </w:p>
    <w:p>
      <w:pPr>
        <w:pStyle w:val="155"/>
        <w:spacing w:before="120" w:after="120"/>
      </w:pPr>
      <w:bookmarkStart w:id="3278" w:name="_Toc483580897"/>
      <w:bookmarkStart w:id="3279" w:name="_Toc486580210"/>
      <w:bookmarkStart w:id="3280" w:name="_Toc117350578"/>
      <w:bookmarkStart w:id="3281" w:name="_Toc489280020"/>
      <w:r>
        <w:t xml:space="preserve">1.3  </w:t>
      </w:r>
      <w:r>
        <w:rPr>
          <w:rFonts w:hint="eastAsia"/>
        </w:rPr>
        <w:t>地质及水文资料</w:t>
      </w:r>
      <w:bookmarkEnd w:id="3278"/>
      <w:bookmarkEnd w:id="3279"/>
      <w:bookmarkEnd w:id="3280"/>
      <w:bookmarkEnd w:id="3281"/>
    </w:p>
    <w:p>
      <w:pPr>
        <w:spacing w:line="360" w:lineRule="auto"/>
        <w:ind w:firstLine="420" w:firstLineChars="200"/>
        <w:outlineLvl w:val="3"/>
        <w:rPr>
          <w:rFonts w:ascii="宋体"/>
        </w:rPr>
      </w:pPr>
      <w:bookmarkStart w:id="3282" w:name="_Toc497235452"/>
      <w:r>
        <w:rPr>
          <w:rFonts w:hint="eastAsia" w:ascii="宋体" w:hAnsi="宋体"/>
        </w:rPr>
        <w:t>现场地质及水文资料和信息数据</w:t>
      </w:r>
      <w:r>
        <w:rPr>
          <w:rFonts w:hint="eastAsia" w:ascii="黑体" w:hAnsi="黑体" w:eastAsia="黑体"/>
        </w:rPr>
        <w:t>见技术标准和要求专用部分。</w:t>
      </w:r>
      <w:bookmarkEnd w:id="3282"/>
    </w:p>
    <w:p>
      <w:pPr>
        <w:pStyle w:val="155"/>
        <w:spacing w:before="120" w:after="120"/>
      </w:pPr>
      <w:bookmarkStart w:id="3283" w:name="_Toc117350579"/>
      <w:bookmarkStart w:id="3284" w:name="_Toc489280021"/>
      <w:bookmarkStart w:id="3285" w:name="_Toc483580898"/>
      <w:bookmarkStart w:id="3286" w:name="_Toc486580211"/>
      <w:r>
        <w:t xml:space="preserve">1.4  </w:t>
      </w:r>
      <w:r>
        <w:rPr>
          <w:rFonts w:hint="eastAsia"/>
        </w:rPr>
        <w:t>资料和信息的使用</w:t>
      </w:r>
      <w:bookmarkEnd w:id="3283"/>
      <w:bookmarkEnd w:id="3284"/>
      <w:bookmarkEnd w:id="3285"/>
      <w:bookmarkEnd w:id="3286"/>
    </w:p>
    <w:p>
      <w:pPr>
        <w:spacing w:line="360" w:lineRule="auto"/>
        <w:ind w:firstLine="420" w:firstLineChars="200"/>
        <w:outlineLvl w:val="3"/>
        <w:rPr>
          <w:rFonts w:ascii="宋体"/>
        </w:rPr>
      </w:pPr>
      <w:bookmarkStart w:id="3287" w:name="_Toc497235454"/>
      <w:r>
        <w:rPr>
          <w:rFonts w:hint="eastAsia" w:ascii="宋体" w:hAnsi="宋体"/>
        </w:rPr>
        <w:t>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bookmarkEnd w:id="3287"/>
    </w:p>
    <w:p>
      <w:pPr>
        <w:pStyle w:val="144"/>
        <w:spacing w:before="120" w:after="120"/>
      </w:pPr>
      <w:bookmarkStart w:id="3288" w:name="_Toc486580212"/>
      <w:bookmarkStart w:id="3289" w:name="_Toc117350580"/>
      <w:bookmarkStart w:id="3290" w:name="_Toc483580899"/>
      <w:bookmarkStart w:id="3291" w:name="_Toc489280022"/>
      <w:bookmarkStart w:id="3292" w:name="_Toc490222653"/>
      <w:r>
        <w:t>2.</w:t>
      </w:r>
      <w:r>
        <w:rPr>
          <w:rFonts w:hint="eastAsia"/>
        </w:rPr>
        <w:t>承包范围</w:t>
      </w:r>
      <w:bookmarkEnd w:id="3288"/>
      <w:bookmarkEnd w:id="3289"/>
      <w:bookmarkEnd w:id="3290"/>
      <w:bookmarkEnd w:id="3291"/>
      <w:bookmarkEnd w:id="3292"/>
    </w:p>
    <w:p>
      <w:pPr>
        <w:pStyle w:val="155"/>
        <w:spacing w:before="120" w:after="120"/>
      </w:pPr>
      <w:bookmarkStart w:id="3293" w:name="_Toc483580900"/>
      <w:bookmarkStart w:id="3294" w:name="_Toc117350581"/>
      <w:bookmarkStart w:id="3295" w:name="_Toc489280023"/>
      <w:bookmarkStart w:id="3296" w:name="_Toc486580213"/>
      <w:r>
        <w:t xml:space="preserve">2.1  </w:t>
      </w:r>
      <w:r>
        <w:rPr>
          <w:rFonts w:hint="eastAsia"/>
        </w:rPr>
        <w:t>承包范围</w:t>
      </w:r>
      <w:bookmarkEnd w:id="3293"/>
      <w:bookmarkEnd w:id="3294"/>
      <w:bookmarkEnd w:id="3295"/>
      <w:bookmarkEnd w:id="3296"/>
    </w:p>
    <w:p>
      <w:pPr>
        <w:spacing w:line="360" w:lineRule="auto"/>
        <w:ind w:firstLine="630" w:firstLineChars="300"/>
        <w:outlineLvl w:val="3"/>
        <w:rPr>
          <w:rFonts w:ascii="宋体"/>
        </w:rPr>
      </w:pPr>
      <w:bookmarkStart w:id="3297" w:name="_Toc497235457"/>
      <w:r>
        <w:rPr>
          <w:rFonts w:ascii="宋体" w:hAnsi="宋体"/>
        </w:rPr>
        <w:t xml:space="preserve">2.1.1  </w:t>
      </w:r>
      <w:r>
        <w:rPr>
          <w:rFonts w:hint="eastAsia" w:ascii="宋体" w:hAnsi="宋体"/>
        </w:rPr>
        <w:t>承包人自行施工范围</w:t>
      </w:r>
      <w:bookmarkEnd w:id="3297"/>
    </w:p>
    <w:p>
      <w:pPr>
        <w:spacing w:line="360" w:lineRule="auto"/>
        <w:ind w:firstLine="630" w:firstLineChars="300"/>
        <w:outlineLvl w:val="3"/>
        <w:rPr>
          <w:rFonts w:ascii="宋体"/>
        </w:rPr>
      </w:pPr>
      <w:bookmarkStart w:id="3298" w:name="_Toc497235458"/>
      <w:r>
        <w:rPr>
          <w:rFonts w:hint="eastAsia" w:ascii="宋体" w:hAnsi="宋体"/>
        </w:rPr>
        <w:t>本工程承包人自行施工的工程范围</w:t>
      </w:r>
      <w:r>
        <w:rPr>
          <w:rFonts w:hint="eastAsia" w:ascii="黑体" w:hAnsi="黑体" w:eastAsia="黑体"/>
        </w:rPr>
        <w:t>见技术标准和要求专用部分。</w:t>
      </w:r>
      <w:bookmarkEnd w:id="3298"/>
    </w:p>
    <w:p>
      <w:pPr>
        <w:spacing w:line="360" w:lineRule="auto"/>
        <w:ind w:firstLine="630" w:firstLineChars="300"/>
        <w:outlineLvl w:val="3"/>
        <w:rPr>
          <w:rFonts w:ascii="宋体"/>
        </w:rPr>
      </w:pPr>
      <w:bookmarkStart w:id="3299" w:name="_Toc497235459"/>
      <w:r>
        <w:rPr>
          <w:rFonts w:ascii="宋体" w:hAnsi="宋体"/>
        </w:rPr>
        <w:t xml:space="preserve">2.1.2  </w:t>
      </w:r>
      <w:r>
        <w:rPr>
          <w:rFonts w:hint="eastAsia" w:ascii="宋体" w:hAnsi="宋体"/>
        </w:rPr>
        <w:t>承包范围内的暂估价项目</w:t>
      </w:r>
      <w:bookmarkEnd w:id="3299"/>
    </w:p>
    <w:p>
      <w:pPr>
        <w:spacing w:line="360" w:lineRule="auto"/>
        <w:ind w:firstLine="840" w:firstLineChars="400"/>
        <w:outlineLvl w:val="3"/>
        <w:rPr>
          <w:rFonts w:ascii="宋体"/>
        </w:rPr>
      </w:pPr>
      <w:bookmarkStart w:id="3300" w:name="_Toc497235460"/>
      <w:r>
        <w:rPr>
          <w:rFonts w:ascii="宋体" w:hAnsi="宋体"/>
        </w:rPr>
        <w:t xml:space="preserve">2.1.2.1  </w:t>
      </w:r>
      <w:r>
        <w:rPr>
          <w:rFonts w:hint="eastAsia" w:ascii="宋体" w:hAnsi="宋体"/>
        </w:rPr>
        <w:t>承包范围内以暂估价形式实施的专业工程见第六章“工程量清单”表</w:t>
      </w:r>
      <w:r>
        <w:rPr>
          <w:rFonts w:ascii="宋体" w:hAnsi="宋体"/>
        </w:rPr>
        <w:t>4.10-3</w:t>
      </w:r>
      <w:r>
        <w:rPr>
          <w:rFonts w:hint="eastAsia" w:ascii="宋体" w:hAnsi="宋体"/>
        </w:rPr>
        <w:t>“专业工程暂估价表”。</w:t>
      </w:r>
      <w:bookmarkEnd w:id="3300"/>
    </w:p>
    <w:p>
      <w:pPr>
        <w:spacing w:line="360" w:lineRule="auto"/>
        <w:ind w:firstLine="840" w:firstLineChars="400"/>
        <w:outlineLvl w:val="3"/>
        <w:rPr>
          <w:rFonts w:ascii="宋体"/>
        </w:rPr>
      </w:pPr>
      <w:bookmarkStart w:id="3301" w:name="_Toc497235461"/>
      <w:r>
        <w:rPr>
          <w:rFonts w:ascii="宋体" w:hAnsi="宋体"/>
        </w:rPr>
        <w:t>2.1.2.2</w:t>
      </w:r>
      <w:r>
        <w:rPr>
          <w:rFonts w:ascii="宋体" w:hAnsi="宋体"/>
        </w:rPr>
        <w:tab/>
      </w:r>
      <w:r>
        <w:rPr>
          <w:rFonts w:ascii="宋体" w:hAnsi="宋体"/>
        </w:rPr>
        <w:t xml:space="preserve"> </w:t>
      </w:r>
      <w:r>
        <w:rPr>
          <w:rFonts w:hint="eastAsia" w:ascii="宋体" w:hAnsi="宋体"/>
        </w:rPr>
        <w:t>承包范围内以暂估价形式实施的材料和工程设备见第六章“工程量清单”表</w:t>
      </w:r>
      <w:r>
        <w:rPr>
          <w:rFonts w:ascii="宋体" w:hAnsi="宋体"/>
        </w:rPr>
        <w:t>4.10-2</w:t>
      </w:r>
      <w:r>
        <w:rPr>
          <w:rFonts w:hint="eastAsia" w:ascii="宋体" w:hAnsi="宋体"/>
        </w:rPr>
        <w:t>“材料和工程设备暂估表”。</w:t>
      </w:r>
      <w:bookmarkEnd w:id="3301"/>
    </w:p>
    <w:p>
      <w:pPr>
        <w:spacing w:line="360" w:lineRule="auto"/>
        <w:ind w:firstLine="840" w:firstLineChars="400"/>
        <w:outlineLvl w:val="3"/>
        <w:rPr>
          <w:rFonts w:ascii="宋体"/>
        </w:rPr>
      </w:pPr>
      <w:bookmarkStart w:id="3302" w:name="_Toc497235462"/>
      <w:r>
        <w:rPr>
          <w:rFonts w:ascii="宋体" w:hAnsi="宋体"/>
        </w:rPr>
        <w:t xml:space="preserve">2.1.2.3  </w:t>
      </w:r>
      <w:r>
        <w:rPr>
          <w:rFonts w:hint="eastAsia" w:ascii="宋体" w:hAnsi="宋体"/>
        </w:rPr>
        <w:t>上述暂估价项目与第</w:t>
      </w:r>
      <w:r>
        <w:rPr>
          <w:rFonts w:ascii="宋体" w:hAnsi="宋体"/>
        </w:rPr>
        <w:t>2.1.1</w:t>
      </w:r>
      <w:r>
        <w:rPr>
          <w:rFonts w:hint="eastAsia" w:ascii="宋体" w:hAnsi="宋体"/>
        </w:rPr>
        <w:t>项承包人自行施工范围的工作界面划分</w:t>
      </w:r>
      <w:r>
        <w:rPr>
          <w:rFonts w:hint="eastAsia" w:ascii="黑体" w:hAnsi="黑体" w:eastAsia="黑体"/>
        </w:rPr>
        <w:t>见技术标准和要求专用部分。</w:t>
      </w:r>
      <w:bookmarkEnd w:id="3302"/>
    </w:p>
    <w:p>
      <w:pPr>
        <w:spacing w:line="360" w:lineRule="auto"/>
        <w:ind w:firstLine="630" w:firstLineChars="300"/>
        <w:outlineLvl w:val="3"/>
        <w:rPr>
          <w:rFonts w:ascii="宋体"/>
        </w:rPr>
      </w:pPr>
      <w:bookmarkStart w:id="3303" w:name="_Toc497235463"/>
      <w:r>
        <w:rPr>
          <w:rFonts w:ascii="宋体" w:hAnsi="宋体"/>
        </w:rPr>
        <w:t xml:space="preserve">2.1.3  </w:t>
      </w:r>
      <w:r>
        <w:rPr>
          <w:rFonts w:hint="eastAsia" w:ascii="宋体" w:hAnsi="宋体"/>
        </w:rPr>
        <w:t>承包范围内的暂列金额项目</w:t>
      </w:r>
      <w:bookmarkEnd w:id="3303"/>
    </w:p>
    <w:p>
      <w:pPr>
        <w:spacing w:line="360" w:lineRule="auto"/>
        <w:ind w:firstLine="840" w:firstLineChars="400"/>
        <w:outlineLvl w:val="3"/>
        <w:rPr>
          <w:rFonts w:ascii="宋体"/>
        </w:rPr>
      </w:pPr>
      <w:bookmarkStart w:id="3304" w:name="_Toc497235464"/>
      <w:r>
        <w:rPr>
          <w:rFonts w:ascii="宋体" w:hAnsi="宋体"/>
        </w:rPr>
        <w:t xml:space="preserve">2.1.3.1  </w:t>
      </w:r>
      <w:r>
        <w:rPr>
          <w:rFonts w:hint="eastAsia" w:ascii="宋体" w:hAnsi="宋体"/>
        </w:rPr>
        <w:t>以暂列金额（包括计日工）方式实施的项目一般包括两部分，见第六章“工程量清单”表</w:t>
      </w:r>
      <w:r>
        <w:rPr>
          <w:rFonts w:ascii="宋体" w:hAnsi="宋体"/>
        </w:rPr>
        <w:t>4.10-1</w:t>
      </w:r>
      <w:r>
        <w:rPr>
          <w:rFonts w:hint="eastAsia" w:ascii="宋体" w:hAnsi="宋体"/>
        </w:rPr>
        <w:t>“暂列金额明细表”（不包括计日工）和表</w:t>
      </w:r>
      <w:r>
        <w:rPr>
          <w:rFonts w:ascii="宋体" w:hAnsi="宋体"/>
        </w:rPr>
        <w:t>4.10-4</w:t>
      </w:r>
      <w:r>
        <w:rPr>
          <w:rFonts w:hint="eastAsia" w:ascii="宋体" w:hAnsi="宋体"/>
        </w:rPr>
        <w:t>“计日工表”；其中，计日工金额为承包人在其投标报价中按表</w:t>
      </w:r>
      <w:r>
        <w:rPr>
          <w:rFonts w:ascii="宋体" w:hAnsi="宋体"/>
        </w:rPr>
        <w:t>4.10-4</w:t>
      </w:r>
      <w:r>
        <w:rPr>
          <w:rFonts w:hint="eastAsia" w:ascii="宋体" w:hAnsi="宋体"/>
        </w:rPr>
        <w:t>“计日工表”所列计日工子目、暂估数量等相应规定填报的金额，构成暂列金额的一部分。</w:t>
      </w:r>
      <w:bookmarkEnd w:id="3304"/>
    </w:p>
    <w:p>
      <w:pPr>
        <w:spacing w:line="360" w:lineRule="auto"/>
        <w:ind w:firstLine="840" w:firstLineChars="400"/>
        <w:outlineLvl w:val="3"/>
        <w:rPr>
          <w:rFonts w:ascii="宋体"/>
        </w:rPr>
      </w:pPr>
      <w:bookmarkStart w:id="3305" w:name="_Toc497235465"/>
      <w:r>
        <w:rPr>
          <w:rFonts w:ascii="宋体" w:hAnsi="宋体"/>
        </w:rPr>
        <w:t xml:space="preserve">2.1.3.2  </w:t>
      </w:r>
      <w:r>
        <w:rPr>
          <w:rFonts w:hint="eastAsia" w:ascii="宋体" w:hAnsi="宋体"/>
        </w:rPr>
        <w:t>暂列金额明细表中每笔暂列金额所对应的子目，或计日工表中所列计日工子目，均只是可能发生的子目。承包人应当充分认识到，合同履行过程中所列上述暂列子目项金额可能不发生，也可能部分发生。监理人按照合同约定发出的使用暂列金额的指示，不限于只能用于上述表中所列子目。</w:t>
      </w:r>
      <w:bookmarkEnd w:id="3305"/>
    </w:p>
    <w:p>
      <w:pPr>
        <w:spacing w:line="360" w:lineRule="auto"/>
        <w:ind w:firstLine="840" w:firstLineChars="400"/>
        <w:outlineLvl w:val="3"/>
        <w:rPr>
          <w:rFonts w:ascii="宋体"/>
        </w:rPr>
      </w:pPr>
      <w:bookmarkStart w:id="3306" w:name="_Toc497235466"/>
      <w:r>
        <w:rPr>
          <w:rFonts w:ascii="宋体" w:hAnsi="宋体"/>
        </w:rPr>
        <w:t xml:space="preserve">2.1.3.3  </w:t>
      </w:r>
      <w:r>
        <w:rPr>
          <w:rFonts w:hint="eastAsia" w:ascii="宋体" w:hAnsi="宋体"/>
        </w:rPr>
        <w:t>暂列金额是否实际发生、其再分和（或）合并等均不应成为承包人要求任何追加费用和</w:t>
      </w:r>
      <w:r>
        <w:rPr>
          <w:rFonts w:ascii="宋体" w:hAnsi="宋体"/>
        </w:rPr>
        <w:t>(</w:t>
      </w:r>
      <w:r>
        <w:rPr>
          <w:rFonts w:hint="eastAsia" w:ascii="宋体" w:hAnsi="宋体"/>
        </w:rPr>
        <w:t>或</w:t>
      </w:r>
      <w:r>
        <w:rPr>
          <w:rFonts w:ascii="宋体" w:hAnsi="宋体"/>
        </w:rPr>
        <w:t>)</w:t>
      </w:r>
      <w:r>
        <w:rPr>
          <w:rFonts w:hint="eastAsia" w:ascii="宋体" w:hAnsi="宋体"/>
        </w:rPr>
        <w:t>延长工期的理由。</w:t>
      </w:r>
      <w:bookmarkEnd w:id="3306"/>
    </w:p>
    <w:p>
      <w:pPr>
        <w:spacing w:line="360" w:lineRule="auto"/>
        <w:ind w:firstLine="840" w:firstLineChars="400"/>
        <w:outlineLvl w:val="3"/>
        <w:rPr>
          <w:rFonts w:ascii="宋体"/>
        </w:rPr>
      </w:pPr>
      <w:bookmarkStart w:id="3307" w:name="_Toc497235467"/>
      <w:r>
        <w:rPr>
          <w:rFonts w:ascii="宋体" w:hAnsi="宋体"/>
        </w:rPr>
        <w:t xml:space="preserve">2.1.3.4  </w:t>
      </w:r>
      <w:r>
        <w:rPr>
          <w:rFonts w:hint="eastAsia" w:ascii="宋体" w:hAnsi="宋体"/>
        </w:rPr>
        <w:t>关于暂列金额的其他说明</w:t>
      </w:r>
      <w:r>
        <w:rPr>
          <w:rFonts w:hint="eastAsia" w:ascii="黑体" w:hAnsi="黑体" w:eastAsia="黑体"/>
        </w:rPr>
        <w:t>见技术标准和要求专用部分。</w:t>
      </w:r>
      <w:bookmarkEnd w:id="3307"/>
    </w:p>
    <w:p>
      <w:pPr>
        <w:pStyle w:val="155"/>
        <w:spacing w:before="120" w:after="120"/>
      </w:pPr>
      <w:bookmarkStart w:id="3308" w:name="_Toc483580901"/>
      <w:bookmarkStart w:id="3309" w:name="_Toc117350582"/>
      <w:bookmarkStart w:id="3310" w:name="_Toc486580214"/>
      <w:bookmarkStart w:id="3311" w:name="_Toc489280024"/>
      <w:r>
        <w:t xml:space="preserve">2.2  </w:t>
      </w:r>
      <w:r>
        <w:rPr>
          <w:rFonts w:hint="eastAsia"/>
        </w:rPr>
        <w:t>发包人发包专业工程和发包人供应的材料和工程设备</w:t>
      </w:r>
      <w:bookmarkEnd w:id="3308"/>
      <w:bookmarkEnd w:id="3309"/>
      <w:bookmarkEnd w:id="3310"/>
      <w:bookmarkEnd w:id="3311"/>
    </w:p>
    <w:p>
      <w:pPr>
        <w:spacing w:line="360" w:lineRule="auto"/>
        <w:ind w:firstLine="630" w:firstLineChars="300"/>
        <w:outlineLvl w:val="3"/>
        <w:rPr>
          <w:rFonts w:ascii="宋体"/>
        </w:rPr>
      </w:pPr>
      <w:bookmarkStart w:id="3312" w:name="_Toc497235469"/>
      <w:r>
        <w:rPr>
          <w:rFonts w:ascii="宋体" w:hAnsi="宋体"/>
        </w:rPr>
        <w:t xml:space="preserve">2.2.1  </w:t>
      </w:r>
      <w:r>
        <w:rPr>
          <w:rFonts w:hint="eastAsia" w:ascii="宋体" w:hAnsi="宋体"/>
        </w:rPr>
        <w:t>由发包人发包的专业工程属于与本工程有关的其他工程，不属于承包人的承包范围。发包人发包的专业工程</w:t>
      </w:r>
      <w:r>
        <w:rPr>
          <w:rFonts w:hint="eastAsia" w:ascii="黑体" w:hAnsi="黑体" w:eastAsia="黑体"/>
        </w:rPr>
        <w:t>见技术标准和要求专用部分。</w:t>
      </w:r>
      <w:bookmarkEnd w:id="3312"/>
    </w:p>
    <w:p>
      <w:pPr>
        <w:spacing w:line="360" w:lineRule="auto"/>
        <w:ind w:firstLine="630" w:firstLineChars="300"/>
        <w:outlineLvl w:val="3"/>
        <w:rPr>
          <w:rFonts w:ascii="宋体"/>
        </w:rPr>
      </w:pPr>
      <w:bookmarkStart w:id="3313" w:name="_Toc497235470"/>
      <w:r>
        <w:rPr>
          <w:rFonts w:ascii="宋体" w:hAnsi="宋体"/>
        </w:rPr>
        <w:t xml:space="preserve">2.2.2  </w:t>
      </w:r>
      <w:r>
        <w:rPr>
          <w:rFonts w:hint="eastAsia" w:ascii="宋体" w:hAnsi="宋体"/>
        </w:rPr>
        <w:t>由发包人供应的材料和工程设备不属于承包人的承包范围。发包人供应的材料和工程设备见合同附件四“发包人供应的材料和工程设备一览表”。</w:t>
      </w:r>
      <w:bookmarkEnd w:id="3313"/>
    </w:p>
    <w:p>
      <w:pPr>
        <w:pStyle w:val="155"/>
        <w:spacing w:before="120" w:after="120"/>
      </w:pPr>
      <w:bookmarkStart w:id="3314" w:name="_Toc486580215"/>
      <w:bookmarkStart w:id="3315" w:name="_Toc117350583"/>
      <w:bookmarkStart w:id="3316" w:name="_Toc489280025"/>
      <w:bookmarkStart w:id="3317" w:name="_Toc483580902"/>
      <w:r>
        <w:t xml:space="preserve">2.3  </w:t>
      </w:r>
      <w:r>
        <w:rPr>
          <w:rFonts w:hint="eastAsia"/>
        </w:rPr>
        <w:t>承包人与发包人发包专业工程承包人的工作界面</w:t>
      </w:r>
      <w:bookmarkEnd w:id="3314"/>
      <w:bookmarkEnd w:id="3315"/>
      <w:bookmarkEnd w:id="3316"/>
      <w:bookmarkEnd w:id="3317"/>
    </w:p>
    <w:p>
      <w:pPr>
        <w:spacing w:line="360" w:lineRule="auto"/>
        <w:ind w:firstLine="420" w:firstLineChars="200"/>
        <w:outlineLvl w:val="3"/>
        <w:rPr>
          <w:rFonts w:ascii="宋体"/>
        </w:rPr>
      </w:pPr>
      <w:bookmarkStart w:id="3318" w:name="_Toc497235472"/>
      <w:r>
        <w:rPr>
          <w:rFonts w:hint="eastAsia" w:ascii="宋体" w:hAnsi="宋体"/>
        </w:rPr>
        <w:t>承包人与发包人发包专业工程承包人以及与发包人供应的材料和设备供应商之间的工作界面划分</w:t>
      </w:r>
      <w:r>
        <w:rPr>
          <w:rFonts w:hint="eastAsia" w:ascii="黑体" w:hAnsi="黑体" w:eastAsia="黑体"/>
        </w:rPr>
        <w:t>见技术标准和要求专用部分。</w:t>
      </w:r>
      <w:bookmarkEnd w:id="3318"/>
    </w:p>
    <w:p>
      <w:pPr>
        <w:pStyle w:val="155"/>
        <w:spacing w:before="120" w:after="120"/>
      </w:pPr>
      <w:bookmarkStart w:id="3319" w:name="_Toc117350584"/>
      <w:bookmarkStart w:id="3320" w:name="_Toc489280026"/>
      <w:bookmarkStart w:id="3321" w:name="_Toc483580903"/>
      <w:bookmarkStart w:id="3322" w:name="_Toc486580216"/>
      <w:r>
        <w:t xml:space="preserve">2.4  </w:t>
      </w:r>
      <w:r>
        <w:rPr>
          <w:rFonts w:hint="eastAsia"/>
        </w:rPr>
        <w:t>承包人需要为发包人和监理人提供的现场办公条件和设施</w:t>
      </w:r>
      <w:bookmarkEnd w:id="3319"/>
      <w:bookmarkEnd w:id="3320"/>
      <w:bookmarkEnd w:id="3321"/>
      <w:bookmarkEnd w:id="3322"/>
    </w:p>
    <w:p>
      <w:pPr>
        <w:spacing w:line="360" w:lineRule="auto"/>
        <w:ind w:firstLine="420" w:firstLineChars="200"/>
        <w:outlineLvl w:val="3"/>
        <w:rPr>
          <w:rFonts w:ascii="黑体" w:hAnsi="黑体" w:eastAsia="黑体"/>
        </w:rPr>
      </w:pPr>
      <w:bookmarkStart w:id="3323" w:name="_Toc497235474"/>
      <w:r>
        <w:rPr>
          <w:rFonts w:hint="eastAsia" w:ascii="宋体" w:hAnsi="宋体"/>
        </w:rPr>
        <w:t>承包人需要为发包人和监理人提供的现场办公条件和设施及其详细要求</w:t>
      </w:r>
      <w:r>
        <w:rPr>
          <w:rFonts w:hint="eastAsia" w:ascii="黑体" w:hAnsi="黑体" w:eastAsia="黑体"/>
        </w:rPr>
        <w:t>见技术标准和要求专用部分。</w:t>
      </w:r>
      <w:bookmarkEnd w:id="3323"/>
    </w:p>
    <w:p>
      <w:pPr>
        <w:pStyle w:val="144"/>
        <w:spacing w:before="120" w:after="120"/>
      </w:pPr>
      <w:bookmarkStart w:id="3324" w:name="_Toc490222654"/>
      <w:bookmarkStart w:id="3325" w:name="_Toc117350585"/>
      <w:bookmarkStart w:id="3326" w:name="_Toc489280027"/>
      <w:bookmarkStart w:id="3327" w:name="_Toc483580904"/>
      <w:bookmarkStart w:id="3328" w:name="_Toc486580217"/>
      <w:bookmarkStart w:id="3329" w:name="_Hlk111560086"/>
      <w:r>
        <w:t>3.</w:t>
      </w:r>
      <w:r>
        <w:rPr>
          <w:rFonts w:hint="eastAsia"/>
        </w:rPr>
        <w:t>工期要求</w:t>
      </w:r>
      <w:bookmarkEnd w:id="3324"/>
      <w:bookmarkEnd w:id="3325"/>
      <w:bookmarkEnd w:id="3326"/>
      <w:bookmarkEnd w:id="3327"/>
      <w:bookmarkEnd w:id="3328"/>
    </w:p>
    <w:p>
      <w:pPr>
        <w:pStyle w:val="155"/>
        <w:spacing w:before="120" w:after="120"/>
      </w:pPr>
      <w:bookmarkStart w:id="3330" w:name="_Toc117350586"/>
      <w:bookmarkStart w:id="3331" w:name="_Toc489280028"/>
      <w:bookmarkStart w:id="3332" w:name="_Toc486580218"/>
      <w:bookmarkStart w:id="3333" w:name="_Toc483580905"/>
      <w:r>
        <w:t xml:space="preserve">3.1  </w:t>
      </w:r>
      <w:r>
        <w:rPr>
          <w:rFonts w:hint="eastAsia"/>
        </w:rPr>
        <w:t>合同工期</w:t>
      </w:r>
      <w:bookmarkEnd w:id="3330"/>
      <w:bookmarkEnd w:id="3331"/>
      <w:bookmarkEnd w:id="3332"/>
      <w:bookmarkEnd w:id="3333"/>
    </w:p>
    <w:p>
      <w:pPr>
        <w:spacing w:line="360" w:lineRule="auto"/>
        <w:ind w:firstLine="420" w:firstLineChars="200"/>
        <w:outlineLvl w:val="3"/>
        <w:rPr>
          <w:rFonts w:ascii="宋体"/>
        </w:rPr>
      </w:pPr>
      <w:bookmarkStart w:id="3334" w:name="_Toc497235477"/>
      <w:r>
        <w:rPr>
          <w:rFonts w:hint="eastAsia" w:ascii="宋体" w:hAnsi="宋体"/>
        </w:rPr>
        <w:t>本工程合同工期和计划开、竣工日期为承包人在投标函或投标函附录中承诺的工期和计划开、竣工日期，并在合同协议书中载明。</w:t>
      </w:r>
      <w:bookmarkEnd w:id="3334"/>
    </w:p>
    <w:p>
      <w:pPr>
        <w:pStyle w:val="155"/>
        <w:spacing w:before="120" w:after="120"/>
      </w:pPr>
      <w:bookmarkStart w:id="3335" w:name="_Toc117350587"/>
      <w:bookmarkStart w:id="3336" w:name="_Toc486580219"/>
      <w:bookmarkStart w:id="3337" w:name="_Toc489280029"/>
      <w:bookmarkStart w:id="3338" w:name="_Toc483580906"/>
      <w:r>
        <w:t xml:space="preserve">3.2  </w:t>
      </w:r>
      <w:bookmarkStart w:id="3339" w:name="_Hlk112744108"/>
      <w:r>
        <w:rPr>
          <w:rFonts w:hint="eastAsia"/>
        </w:rPr>
        <w:t>关于工期的一般规定</w:t>
      </w:r>
      <w:bookmarkEnd w:id="3335"/>
      <w:bookmarkEnd w:id="3336"/>
      <w:bookmarkEnd w:id="3337"/>
      <w:bookmarkEnd w:id="3338"/>
      <w:bookmarkEnd w:id="3339"/>
    </w:p>
    <w:p>
      <w:pPr>
        <w:spacing w:line="360" w:lineRule="auto"/>
        <w:ind w:firstLine="630" w:firstLineChars="300"/>
        <w:outlineLvl w:val="3"/>
        <w:rPr>
          <w:rFonts w:ascii="宋体"/>
        </w:rPr>
      </w:pPr>
      <w:bookmarkStart w:id="3340" w:name="_Toc497235479"/>
      <w:r>
        <w:rPr>
          <w:rFonts w:ascii="宋体" w:hAnsi="宋体"/>
        </w:rPr>
        <w:t xml:space="preserve">3.2.1  </w:t>
      </w:r>
      <w:r>
        <w:rPr>
          <w:rFonts w:hint="eastAsia" w:ascii="宋体" w:hAnsi="宋体"/>
        </w:rPr>
        <w:t>承包人在投标函或投标函附录中，承诺的工期和计划开、竣工日期之间发生矛盾或者不一致时，以承包人承诺的工期为准。实际开工日期以合同条款第</w:t>
      </w:r>
      <w:r>
        <w:rPr>
          <w:rFonts w:ascii="宋体" w:hAnsi="宋体"/>
        </w:rPr>
        <w:t>11.1</w:t>
      </w:r>
      <w:r>
        <w:rPr>
          <w:rFonts w:hint="eastAsia" w:ascii="宋体" w:hAnsi="宋体"/>
        </w:rPr>
        <w:t>款约定的监理人发出的开工通知中载明的开工日期为准。</w:t>
      </w:r>
      <w:bookmarkEnd w:id="3340"/>
    </w:p>
    <w:p>
      <w:pPr>
        <w:spacing w:line="360" w:lineRule="auto"/>
        <w:ind w:firstLine="630" w:firstLineChars="300"/>
        <w:outlineLvl w:val="3"/>
        <w:rPr>
          <w:rFonts w:ascii="宋体"/>
        </w:rPr>
      </w:pPr>
      <w:bookmarkStart w:id="3341" w:name="_Toc497235480"/>
      <w:r>
        <w:rPr>
          <w:rFonts w:ascii="宋体" w:hAnsi="宋体"/>
        </w:rPr>
        <w:t xml:space="preserve">3.2.2  </w:t>
      </w:r>
      <w:r>
        <w:rPr>
          <w:rFonts w:hint="eastAsia" w:ascii="宋体" w:hAnsi="宋体"/>
        </w:rPr>
        <w:t>如果承包人在投标函或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bookmarkEnd w:id="3341"/>
    </w:p>
    <w:p>
      <w:pPr>
        <w:spacing w:line="360" w:lineRule="auto"/>
        <w:ind w:firstLine="630" w:firstLineChars="300"/>
        <w:outlineLvl w:val="3"/>
        <w:rPr>
          <w:rFonts w:ascii="宋体" w:hAnsi="宋体"/>
        </w:rPr>
      </w:pPr>
      <w:bookmarkStart w:id="3342" w:name="_Toc497235481"/>
      <w:r>
        <w:rPr>
          <w:rFonts w:ascii="宋体" w:hAnsi="宋体"/>
        </w:rPr>
        <w:t xml:space="preserve">3.2.3  </w:t>
      </w:r>
      <w:r>
        <w:rPr>
          <w:rFonts w:hint="eastAsia" w:ascii="宋体" w:hAnsi="宋体"/>
        </w:rPr>
        <w:t>承包人在投标函或投标函附录中，所承诺的工期应当包括实施并完成第</w:t>
      </w:r>
      <w:r>
        <w:rPr>
          <w:rFonts w:ascii="宋体" w:hAnsi="宋体"/>
        </w:rPr>
        <w:t>2.1.2</w:t>
      </w:r>
      <w:r>
        <w:rPr>
          <w:rFonts w:hint="eastAsia" w:ascii="宋体" w:hAnsi="宋体"/>
        </w:rPr>
        <w:t>项“承包范围内的暂估项目”规定的暂估价项目和第</w:t>
      </w:r>
      <w:r>
        <w:rPr>
          <w:rFonts w:ascii="宋体" w:hAnsi="宋体"/>
        </w:rPr>
        <w:t>2.1.3</w:t>
      </w:r>
      <w:r>
        <w:rPr>
          <w:rFonts w:hint="eastAsia" w:ascii="宋体" w:hAnsi="宋体"/>
        </w:rPr>
        <w:t>项“承包范围内的暂列金额项目”规定的暂列金额在内的所有工作的工期。</w:t>
      </w:r>
      <w:bookmarkEnd w:id="3342"/>
    </w:p>
    <w:bookmarkEnd w:id="3329"/>
    <w:p>
      <w:pPr>
        <w:pStyle w:val="144"/>
        <w:spacing w:before="120" w:after="120"/>
      </w:pPr>
      <w:bookmarkStart w:id="3343" w:name="_Toc490222655"/>
      <w:bookmarkStart w:id="3344" w:name="_Toc486580220"/>
      <w:bookmarkStart w:id="3345" w:name="_Toc489280030"/>
      <w:bookmarkStart w:id="3346" w:name="_Toc483580907"/>
      <w:bookmarkStart w:id="3347" w:name="_Toc117350588"/>
      <w:r>
        <w:t>4.</w:t>
      </w:r>
      <w:r>
        <w:rPr>
          <w:rFonts w:hint="eastAsia"/>
        </w:rPr>
        <w:t>质量要求</w:t>
      </w:r>
      <w:bookmarkEnd w:id="3343"/>
      <w:bookmarkEnd w:id="3344"/>
      <w:bookmarkEnd w:id="3345"/>
      <w:bookmarkEnd w:id="3346"/>
      <w:bookmarkEnd w:id="3347"/>
    </w:p>
    <w:p>
      <w:pPr>
        <w:pStyle w:val="155"/>
        <w:spacing w:before="120" w:after="120"/>
      </w:pPr>
      <w:bookmarkStart w:id="3348" w:name="_Toc489280031"/>
      <w:bookmarkStart w:id="3349" w:name="_Toc486580221"/>
      <w:bookmarkStart w:id="3350" w:name="_Toc483580908"/>
      <w:bookmarkStart w:id="3351" w:name="_Toc117350589"/>
      <w:r>
        <w:t xml:space="preserve">4.1  </w:t>
      </w:r>
      <w:r>
        <w:rPr>
          <w:rFonts w:hint="eastAsia"/>
        </w:rPr>
        <w:t>质量标准</w:t>
      </w:r>
      <w:bookmarkEnd w:id="3348"/>
      <w:bookmarkEnd w:id="3349"/>
      <w:bookmarkEnd w:id="3350"/>
      <w:bookmarkEnd w:id="3351"/>
    </w:p>
    <w:p>
      <w:pPr>
        <w:spacing w:line="360" w:lineRule="auto"/>
        <w:ind w:firstLine="420" w:firstLineChars="200"/>
        <w:outlineLvl w:val="3"/>
        <w:rPr>
          <w:rFonts w:ascii="宋体"/>
        </w:rPr>
      </w:pPr>
      <w:bookmarkStart w:id="3352" w:name="_Toc497235484"/>
      <w:r>
        <w:rPr>
          <w:rFonts w:hint="eastAsia" w:ascii="宋体" w:hAnsi="宋体"/>
        </w:rPr>
        <w:t>本工程要求的质量标准为符合现行国家有关工程施工验收规范和标准的要求（合格）。</w:t>
      </w:r>
      <w:bookmarkEnd w:id="3352"/>
    </w:p>
    <w:p>
      <w:pPr>
        <w:pStyle w:val="155"/>
        <w:spacing w:before="120" w:after="120"/>
      </w:pPr>
      <w:bookmarkStart w:id="3353" w:name="_Toc483580909"/>
      <w:bookmarkStart w:id="3354" w:name="_Toc489280032"/>
      <w:bookmarkStart w:id="3355" w:name="_Toc486580222"/>
      <w:bookmarkStart w:id="3356" w:name="_Toc117350590"/>
      <w:r>
        <w:t xml:space="preserve">4.2  </w:t>
      </w:r>
      <w:r>
        <w:rPr>
          <w:rFonts w:hint="eastAsia"/>
        </w:rPr>
        <w:t>特殊质量要求</w:t>
      </w:r>
      <w:bookmarkEnd w:id="3353"/>
      <w:bookmarkEnd w:id="3354"/>
      <w:bookmarkEnd w:id="3355"/>
      <w:bookmarkEnd w:id="3356"/>
    </w:p>
    <w:p>
      <w:pPr>
        <w:spacing w:line="360" w:lineRule="auto"/>
        <w:ind w:firstLine="420" w:firstLineChars="200"/>
        <w:outlineLvl w:val="3"/>
        <w:rPr>
          <w:rFonts w:ascii="黑体" w:hAnsi="黑体" w:eastAsia="黑体"/>
          <w:b/>
        </w:rPr>
      </w:pPr>
      <w:bookmarkStart w:id="3357" w:name="_Toc497235486"/>
      <w:r>
        <w:rPr>
          <w:rFonts w:hint="eastAsia" w:ascii="宋体" w:hAnsi="宋体"/>
        </w:rPr>
        <w:t>有关本工程质量方面的特殊要求</w:t>
      </w:r>
      <w:r>
        <w:rPr>
          <w:rFonts w:hint="eastAsia" w:ascii="黑体" w:hAnsi="黑体" w:eastAsia="黑体"/>
        </w:rPr>
        <w:t>见技术标准和要求专用部分。</w:t>
      </w:r>
      <w:bookmarkEnd w:id="3357"/>
    </w:p>
    <w:p>
      <w:pPr>
        <w:pStyle w:val="144"/>
        <w:spacing w:before="120" w:after="120"/>
      </w:pPr>
      <w:bookmarkStart w:id="3358" w:name="_Toc483580910"/>
      <w:bookmarkStart w:id="3359" w:name="_Toc490222656"/>
      <w:bookmarkStart w:id="3360" w:name="_Toc486580223"/>
      <w:bookmarkStart w:id="3361" w:name="_Toc489280033"/>
      <w:bookmarkStart w:id="3362" w:name="_Toc117350591"/>
      <w:r>
        <w:t>5.</w:t>
      </w:r>
      <w:r>
        <w:rPr>
          <w:rFonts w:hint="eastAsia"/>
        </w:rPr>
        <w:t>适用规范和标准</w:t>
      </w:r>
      <w:bookmarkEnd w:id="3358"/>
      <w:bookmarkEnd w:id="3359"/>
      <w:bookmarkEnd w:id="3360"/>
      <w:bookmarkEnd w:id="3361"/>
      <w:bookmarkEnd w:id="3362"/>
    </w:p>
    <w:p>
      <w:pPr>
        <w:spacing w:line="360" w:lineRule="auto"/>
        <w:ind w:firstLine="630" w:firstLineChars="300"/>
        <w:outlineLvl w:val="3"/>
        <w:rPr>
          <w:rFonts w:ascii="宋体"/>
        </w:rPr>
      </w:pPr>
      <w:bookmarkStart w:id="3363" w:name="_Toc497235488"/>
      <w:r>
        <w:rPr>
          <w:rFonts w:ascii="宋体" w:hAnsi="宋体"/>
        </w:rPr>
        <w:t xml:space="preserve">5.1  </w:t>
      </w:r>
      <w:r>
        <w:rPr>
          <w:rFonts w:hint="eastAsia" w:ascii="宋体" w:hAnsi="宋体"/>
        </w:rPr>
        <w:t>除合同另有约定外，本工程适用现行国家、行业和地方规范、标准和规程。适用于本工程的国家、行业和地方的规范、标准和规程等的名录</w:t>
      </w:r>
      <w:r>
        <w:rPr>
          <w:rFonts w:hint="eastAsia" w:ascii="黑体" w:hAnsi="黑体" w:eastAsia="黑体"/>
        </w:rPr>
        <w:t>见技术标准和要求专用部分</w:t>
      </w:r>
      <w:r>
        <w:rPr>
          <w:rFonts w:hint="eastAsia" w:ascii="宋体" w:hAnsi="宋体"/>
        </w:rPr>
        <w:t>。</w:t>
      </w:r>
      <w:bookmarkEnd w:id="3363"/>
    </w:p>
    <w:p>
      <w:pPr>
        <w:spacing w:line="360" w:lineRule="auto"/>
        <w:ind w:firstLine="618" w:firstLineChars="300"/>
        <w:outlineLvl w:val="3"/>
        <w:rPr>
          <w:rFonts w:ascii="宋体"/>
        </w:rPr>
      </w:pPr>
      <w:bookmarkStart w:id="3364" w:name="_Toc497235489"/>
      <w:r>
        <w:rPr>
          <w:rFonts w:ascii="宋体" w:hAnsi="宋体"/>
          <w:spacing w:val="-2"/>
        </w:rPr>
        <w:t xml:space="preserve">5.2  </w:t>
      </w:r>
      <w:r>
        <w:rPr>
          <w:rFonts w:hint="eastAsia" w:ascii="宋体" w:hAnsi="宋体"/>
          <w:spacing w:val="-2"/>
        </w:rPr>
        <w:t>构成合同文件的任何内容与适用的规范、标准和规程之间出现矛盾，承包人应书面要求监理人予以澄清，除监理人有特别指示外，承包人应按照其中要求最严格的标准执</w:t>
      </w:r>
      <w:r>
        <w:rPr>
          <w:rFonts w:hint="eastAsia" w:ascii="宋体" w:hAnsi="宋体"/>
        </w:rPr>
        <w:t>行。</w:t>
      </w:r>
      <w:bookmarkEnd w:id="3364"/>
    </w:p>
    <w:p>
      <w:pPr>
        <w:spacing w:line="360" w:lineRule="auto"/>
        <w:ind w:firstLine="630" w:firstLineChars="300"/>
        <w:outlineLvl w:val="3"/>
        <w:rPr>
          <w:rFonts w:ascii="宋体"/>
        </w:rPr>
      </w:pPr>
      <w:bookmarkStart w:id="3365" w:name="_Toc497235490"/>
      <w:r>
        <w:rPr>
          <w:rFonts w:ascii="宋体" w:hAnsi="宋体"/>
        </w:rPr>
        <w:t xml:space="preserve">5.3  </w:t>
      </w:r>
      <w:r>
        <w:rPr>
          <w:rFonts w:hint="eastAsia" w:ascii="宋体" w:hAnsi="宋体"/>
        </w:rPr>
        <w:t>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第</w:t>
      </w:r>
      <w:r>
        <w:rPr>
          <w:rFonts w:ascii="宋体" w:hAnsi="宋体"/>
        </w:rPr>
        <w:t>15</w:t>
      </w:r>
      <w:r>
        <w:rPr>
          <w:rFonts w:hint="eastAsia" w:ascii="宋体" w:hAnsi="宋体"/>
        </w:rPr>
        <w:t>条的约定办理。</w:t>
      </w:r>
      <w:bookmarkEnd w:id="3365"/>
    </w:p>
    <w:p>
      <w:pPr>
        <w:pStyle w:val="144"/>
        <w:spacing w:before="120" w:after="120"/>
      </w:pPr>
      <w:bookmarkStart w:id="3366" w:name="_Toc483580911"/>
      <w:bookmarkStart w:id="3367" w:name="_Toc489280034"/>
      <w:bookmarkStart w:id="3368" w:name="_Toc486580224"/>
      <w:bookmarkStart w:id="3369" w:name="_Toc490222657"/>
      <w:bookmarkStart w:id="3370" w:name="_Toc117350592"/>
      <w:r>
        <w:t>6.</w:t>
      </w:r>
      <w:r>
        <w:rPr>
          <w:rFonts w:hint="eastAsia"/>
        </w:rPr>
        <w:t>安全文明施工</w:t>
      </w:r>
      <w:bookmarkEnd w:id="3366"/>
      <w:bookmarkEnd w:id="3367"/>
      <w:bookmarkEnd w:id="3368"/>
      <w:bookmarkEnd w:id="3369"/>
      <w:bookmarkEnd w:id="3370"/>
    </w:p>
    <w:p>
      <w:pPr>
        <w:pStyle w:val="155"/>
        <w:spacing w:before="120" w:after="120"/>
      </w:pPr>
      <w:bookmarkStart w:id="3371" w:name="_Toc486580225"/>
      <w:bookmarkStart w:id="3372" w:name="_Toc483580912"/>
      <w:bookmarkStart w:id="3373" w:name="_Toc489280035"/>
      <w:bookmarkStart w:id="3374" w:name="_Toc117350593"/>
      <w:r>
        <w:t xml:space="preserve">6.1  </w:t>
      </w:r>
      <w:r>
        <w:rPr>
          <w:rFonts w:hint="eastAsia"/>
        </w:rPr>
        <w:t>安全防护</w:t>
      </w:r>
      <w:bookmarkEnd w:id="3371"/>
      <w:bookmarkEnd w:id="3372"/>
      <w:bookmarkEnd w:id="3373"/>
      <w:bookmarkEnd w:id="3374"/>
    </w:p>
    <w:p>
      <w:pPr>
        <w:spacing w:line="360" w:lineRule="auto"/>
        <w:ind w:firstLine="630" w:firstLineChars="300"/>
        <w:outlineLvl w:val="3"/>
        <w:rPr>
          <w:rFonts w:ascii="宋体"/>
        </w:rPr>
      </w:pPr>
      <w:bookmarkStart w:id="3375" w:name="_Toc497235493"/>
      <w:r>
        <w:rPr>
          <w:rFonts w:ascii="宋体" w:hAnsi="宋体"/>
        </w:rPr>
        <w:t xml:space="preserve">6.1.1  </w:t>
      </w:r>
      <w:r>
        <w:rPr>
          <w:rFonts w:hint="eastAsia" w:ascii="宋体" w:hAnsi="宋体"/>
        </w:rPr>
        <w:t>在工程施工、竣工、交付及修补任何缺陷的过程中，承包人应当始终遵守国家和地方有关安全生产的法律、法规、规范、标准和规程等，按照合同条款第</w:t>
      </w:r>
      <w:r>
        <w:rPr>
          <w:rFonts w:ascii="宋体" w:hAnsi="宋体"/>
        </w:rPr>
        <w:t>9.2</w:t>
      </w:r>
      <w:r>
        <w:rPr>
          <w:rFonts w:hint="eastAsia" w:ascii="宋体" w:hAnsi="宋体"/>
        </w:rPr>
        <w:t>款的约定履行其安全施工职责。</w:t>
      </w:r>
      <w:bookmarkEnd w:id="3375"/>
    </w:p>
    <w:p>
      <w:pPr>
        <w:spacing w:line="360" w:lineRule="auto"/>
        <w:ind w:firstLine="630" w:firstLineChars="300"/>
        <w:outlineLvl w:val="3"/>
        <w:rPr>
          <w:rFonts w:ascii="宋体"/>
        </w:rPr>
      </w:pPr>
      <w:bookmarkStart w:id="3376" w:name="_Toc497235494"/>
      <w:r>
        <w:rPr>
          <w:rFonts w:ascii="宋体" w:hAnsi="宋体"/>
        </w:rPr>
        <w:t xml:space="preserve">6.1.2  </w:t>
      </w:r>
      <w:r>
        <w:rPr>
          <w:rFonts w:hint="eastAsia" w:ascii="宋体" w:hAnsi="宋体"/>
        </w:rPr>
        <w:t>承包人应坚持“安全第一，预防为主”的方针，建立、健全安全生产责任制度和安全生产教育培训制度。在整个工程施工期间，承包人应在施工场地（现场）设立、提供和维护并在有关工作完成或竣工后撤除：</w:t>
      </w:r>
      <w:bookmarkEnd w:id="3376"/>
    </w:p>
    <w:p>
      <w:pPr>
        <w:spacing w:line="360" w:lineRule="auto"/>
        <w:ind w:firstLine="630" w:firstLineChars="300"/>
        <w:outlineLvl w:val="3"/>
        <w:rPr>
          <w:rFonts w:ascii="宋体"/>
        </w:rPr>
      </w:pPr>
      <w:bookmarkStart w:id="3377" w:name="_Toc497235495"/>
      <w:r>
        <w:rPr>
          <w:rFonts w:hint="eastAsia" w:ascii="宋体" w:hAnsi="宋体"/>
        </w:rPr>
        <w:t>（</w:t>
      </w:r>
      <w:r>
        <w:rPr>
          <w:rFonts w:ascii="宋体" w:hAnsi="宋体"/>
        </w:rPr>
        <w:t>1</w:t>
      </w:r>
      <w:r>
        <w:rPr>
          <w:rFonts w:hint="eastAsia" w:ascii="宋体" w:hAnsi="宋体"/>
        </w:rPr>
        <w:t>）设立在现场入口显著位置的现场施工总平面图、总平面管理、安全生产、文明施工、环境保护、质量控制、材料管理等的规章制度和主要参建单位名称和工程概况等说明的图板；</w:t>
      </w:r>
      <w:bookmarkEnd w:id="3377"/>
    </w:p>
    <w:p>
      <w:pPr>
        <w:spacing w:line="360" w:lineRule="auto"/>
        <w:ind w:firstLine="630" w:firstLineChars="300"/>
        <w:outlineLvl w:val="3"/>
        <w:rPr>
          <w:rFonts w:ascii="宋体"/>
        </w:rPr>
      </w:pPr>
      <w:bookmarkStart w:id="3378" w:name="_Toc497235496"/>
      <w:r>
        <w:rPr>
          <w:rFonts w:hint="eastAsia" w:ascii="宋体" w:hAnsi="宋体"/>
        </w:rPr>
        <w:t>（</w:t>
      </w:r>
      <w:r>
        <w:rPr>
          <w:rFonts w:ascii="宋体" w:hAnsi="宋体"/>
        </w:rPr>
        <w:t>2</w:t>
      </w:r>
      <w:r>
        <w:rPr>
          <w:rFonts w:hint="eastAsia" w:ascii="宋体" w:hAnsi="宋体"/>
        </w:rPr>
        <w:t>）为确保工程安全施工须设立的足够的标志、宣传画、标语、指示牌、警告牌、公示牌（如，职工工伤保险公示标牌）、火警、匪警和急救电话提示牌等等；</w:t>
      </w:r>
      <w:bookmarkEnd w:id="3378"/>
    </w:p>
    <w:p>
      <w:pPr>
        <w:spacing w:line="360" w:lineRule="auto"/>
        <w:ind w:firstLine="630" w:firstLineChars="300"/>
        <w:outlineLvl w:val="3"/>
        <w:rPr>
          <w:rFonts w:ascii="宋体"/>
        </w:rPr>
      </w:pPr>
      <w:bookmarkStart w:id="3379" w:name="_Toc497235497"/>
      <w:r>
        <w:rPr>
          <w:rFonts w:hint="eastAsia" w:ascii="宋体" w:hAnsi="宋体"/>
        </w:rPr>
        <w:t>（</w:t>
      </w:r>
      <w:r>
        <w:rPr>
          <w:rFonts w:ascii="宋体" w:hAnsi="宋体"/>
        </w:rPr>
        <w:t>3</w:t>
      </w:r>
      <w:r>
        <w:rPr>
          <w:rFonts w:hint="eastAsia" w:ascii="宋体" w:hAnsi="宋体"/>
        </w:rPr>
        <w:t>）洞口和临边位置的安全防护设施，包括护身栏杆、脚手架、洞口盖板和加筋、竖井防护栏杆、防护棚、防护网、坡道等等；</w:t>
      </w:r>
      <w:bookmarkEnd w:id="3379"/>
    </w:p>
    <w:p>
      <w:pPr>
        <w:spacing w:line="360" w:lineRule="auto"/>
        <w:ind w:firstLine="630" w:firstLineChars="300"/>
        <w:outlineLvl w:val="3"/>
        <w:rPr>
          <w:rFonts w:ascii="宋体"/>
        </w:rPr>
      </w:pPr>
      <w:bookmarkStart w:id="3380" w:name="_Toc497235498"/>
      <w:r>
        <w:rPr>
          <w:rFonts w:hint="eastAsia" w:ascii="宋体" w:hAnsi="宋体"/>
        </w:rPr>
        <w:t>（</w:t>
      </w:r>
      <w:r>
        <w:rPr>
          <w:rFonts w:ascii="宋体" w:hAnsi="宋体"/>
        </w:rPr>
        <w:t>4</w:t>
      </w:r>
      <w:r>
        <w:rPr>
          <w:rFonts w:hint="eastAsia" w:ascii="宋体" w:hAnsi="宋体"/>
        </w:rPr>
        <w:t>）安全带、安全绳、安全帽、安全网、绝缘鞋、绝缘手套、防护口罩和防护衣等安全生产用品；</w:t>
      </w:r>
      <w:bookmarkEnd w:id="3380"/>
    </w:p>
    <w:p>
      <w:pPr>
        <w:spacing w:line="360" w:lineRule="auto"/>
        <w:ind w:firstLine="630" w:firstLineChars="300"/>
        <w:outlineLvl w:val="3"/>
        <w:rPr>
          <w:rFonts w:ascii="宋体"/>
        </w:rPr>
      </w:pPr>
      <w:bookmarkStart w:id="3381" w:name="_Toc497235499"/>
      <w:r>
        <w:rPr>
          <w:rFonts w:hint="eastAsia" w:ascii="宋体" w:hAnsi="宋体"/>
        </w:rPr>
        <w:t>（</w:t>
      </w:r>
      <w:r>
        <w:rPr>
          <w:rFonts w:ascii="宋体" w:hAnsi="宋体"/>
        </w:rPr>
        <w:t>5</w:t>
      </w:r>
      <w:r>
        <w:rPr>
          <w:rFonts w:hint="eastAsia" w:ascii="宋体" w:hAnsi="宋体"/>
        </w:rPr>
        <w:t>）所有机械设备包括各类电动工具的安全保护和接地装置和操作说明；</w:t>
      </w:r>
      <w:bookmarkEnd w:id="3381"/>
    </w:p>
    <w:p>
      <w:pPr>
        <w:spacing w:line="360" w:lineRule="auto"/>
        <w:ind w:firstLine="630" w:firstLineChars="300"/>
        <w:outlineLvl w:val="3"/>
        <w:rPr>
          <w:rFonts w:ascii="宋体"/>
        </w:rPr>
      </w:pPr>
      <w:bookmarkStart w:id="3382" w:name="_Toc497235500"/>
      <w:r>
        <w:rPr>
          <w:rFonts w:hint="eastAsia" w:ascii="宋体" w:hAnsi="宋体"/>
        </w:rPr>
        <w:t>（</w:t>
      </w:r>
      <w:r>
        <w:rPr>
          <w:rFonts w:ascii="宋体" w:hAnsi="宋体"/>
        </w:rPr>
        <w:t>6</w:t>
      </w:r>
      <w:r>
        <w:rPr>
          <w:rFonts w:hint="eastAsia" w:ascii="宋体" w:hAnsi="宋体"/>
        </w:rPr>
        <w:t>）装备良好的临时急救站和配备称职的医护人员；</w:t>
      </w:r>
      <w:bookmarkEnd w:id="3382"/>
    </w:p>
    <w:p>
      <w:pPr>
        <w:spacing w:line="360" w:lineRule="auto"/>
        <w:ind w:firstLine="630" w:firstLineChars="300"/>
        <w:outlineLvl w:val="3"/>
        <w:rPr>
          <w:rFonts w:ascii="宋体"/>
        </w:rPr>
      </w:pPr>
      <w:bookmarkStart w:id="3383" w:name="_Toc497235501"/>
      <w:r>
        <w:rPr>
          <w:rFonts w:hint="eastAsia" w:ascii="宋体" w:hAnsi="宋体"/>
        </w:rPr>
        <w:t>（</w:t>
      </w:r>
      <w:r>
        <w:rPr>
          <w:rFonts w:ascii="宋体" w:hAnsi="宋体"/>
        </w:rPr>
        <w:t>7</w:t>
      </w:r>
      <w:r>
        <w:rPr>
          <w:rFonts w:hint="eastAsia" w:ascii="宋体" w:hAnsi="宋体"/>
        </w:rPr>
        <w:t>）主要作业场所和临时安全疏散通道</w:t>
      </w:r>
      <w:r>
        <w:rPr>
          <w:rFonts w:ascii="宋体" w:hAnsi="宋体"/>
        </w:rPr>
        <w:t>24</w:t>
      </w:r>
      <w:r>
        <w:rPr>
          <w:rFonts w:hint="eastAsia" w:ascii="宋体" w:hAnsi="宋体"/>
        </w:rPr>
        <w:t>小时</w:t>
      </w:r>
      <w:r>
        <w:rPr>
          <w:rFonts w:ascii="宋体" w:hAnsi="宋体"/>
        </w:rPr>
        <w:t>36</w:t>
      </w:r>
      <w:r>
        <w:rPr>
          <w:rFonts w:hint="eastAsia" w:ascii="宋体" w:hAnsi="宋体"/>
        </w:rPr>
        <w:t>伏安全照明和必要的警示等以防止各种可能的事故；</w:t>
      </w:r>
      <w:bookmarkEnd w:id="3383"/>
    </w:p>
    <w:p>
      <w:pPr>
        <w:spacing w:line="360" w:lineRule="auto"/>
        <w:ind w:firstLine="630" w:firstLineChars="300"/>
        <w:outlineLvl w:val="3"/>
        <w:rPr>
          <w:rFonts w:ascii="宋体"/>
        </w:rPr>
      </w:pPr>
      <w:bookmarkStart w:id="3384" w:name="_Toc497235502"/>
      <w:r>
        <w:rPr>
          <w:rFonts w:hint="eastAsia" w:ascii="宋体" w:hAnsi="宋体"/>
        </w:rPr>
        <w:t>（</w:t>
      </w:r>
      <w:r>
        <w:rPr>
          <w:rFonts w:ascii="宋体" w:hAnsi="宋体"/>
        </w:rPr>
        <w:t>8</w:t>
      </w:r>
      <w:r>
        <w:rPr>
          <w:rFonts w:hint="eastAsia" w:ascii="宋体" w:hAnsi="宋体"/>
        </w:rPr>
        <w:t>）足够数量的和合格的手提灭火器；</w:t>
      </w:r>
      <w:bookmarkEnd w:id="3384"/>
    </w:p>
    <w:p>
      <w:pPr>
        <w:spacing w:line="360" w:lineRule="auto"/>
        <w:ind w:firstLine="630" w:firstLineChars="300"/>
        <w:outlineLvl w:val="3"/>
        <w:rPr>
          <w:rFonts w:ascii="宋体"/>
        </w:rPr>
      </w:pPr>
      <w:bookmarkStart w:id="3385" w:name="_Toc497235503"/>
      <w:r>
        <w:rPr>
          <w:rFonts w:hint="eastAsia" w:ascii="宋体" w:hAnsi="宋体"/>
        </w:rPr>
        <w:t>（</w:t>
      </w:r>
      <w:r>
        <w:rPr>
          <w:rFonts w:ascii="宋体" w:hAnsi="宋体"/>
        </w:rPr>
        <w:t>9</w:t>
      </w:r>
      <w:r>
        <w:rPr>
          <w:rFonts w:hint="eastAsia" w:ascii="宋体" w:hAnsi="宋体"/>
        </w:rPr>
        <w:t>）装备良好的易燃易爆物品仓库和相应的使用管理制度；</w:t>
      </w:r>
      <w:bookmarkEnd w:id="3385"/>
    </w:p>
    <w:p>
      <w:pPr>
        <w:spacing w:line="360" w:lineRule="auto"/>
        <w:ind w:firstLine="630" w:firstLineChars="300"/>
        <w:outlineLvl w:val="3"/>
        <w:rPr>
          <w:rFonts w:ascii="宋体"/>
        </w:rPr>
      </w:pPr>
      <w:bookmarkStart w:id="3386" w:name="_Toc497235504"/>
      <w:r>
        <w:rPr>
          <w:rFonts w:hint="eastAsia" w:ascii="宋体" w:hAnsi="宋体"/>
        </w:rPr>
        <w:t>（</w:t>
      </w:r>
      <w:r>
        <w:rPr>
          <w:rFonts w:ascii="宋体" w:hAnsi="宋体"/>
        </w:rPr>
        <w:t>10</w:t>
      </w:r>
      <w:r>
        <w:rPr>
          <w:rFonts w:hint="eastAsia" w:ascii="宋体" w:hAnsi="宋体"/>
        </w:rPr>
        <w:t>）对涉及明火施工的工作制定诸如用火证等的管理制度；</w:t>
      </w:r>
      <w:bookmarkEnd w:id="3386"/>
    </w:p>
    <w:p>
      <w:pPr>
        <w:spacing w:line="360" w:lineRule="auto"/>
        <w:ind w:firstLine="630" w:firstLineChars="300"/>
        <w:outlineLvl w:val="3"/>
        <w:rPr>
          <w:rFonts w:ascii="宋体"/>
        </w:rPr>
      </w:pPr>
      <w:bookmarkStart w:id="3387" w:name="_Toc497235505"/>
      <w:r>
        <w:rPr>
          <w:rFonts w:hint="eastAsia" w:ascii="宋体" w:hAnsi="宋体"/>
        </w:rPr>
        <w:t>（</w:t>
      </w:r>
      <w:r>
        <w:rPr>
          <w:rFonts w:ascii="宋体" w:hAnsi="宋体"/>
        </w:rPr>
        <w:t>11</w:t>
      </w:r>
      <w:r>
        <w:rPr>
          <w:rFonts w:hint="eastAsia" w:ascii="宋体" w:hAnsi="宋体"/>
        </w:rPr>
        <w:t>）其他要</w:t>
      </w:r>
      <w:r>
        <w:rPr>
          <w:rFonts w:hint="eastAsia" w:ascii="黑体" w:hAnsi="黑体" w:eastAsia="黑体"/>
        </w:rPr>
        <w:t>求见技术标准和要求专用部分。</w:t>
      </w:r>
      <w:bookmarkEnd w:id="3387"/>
    </w:p>
    <w:p>
      <w:pPr>
        <w:spacing w:line="360" w:lineRule="auto"/>
        <w:ind w:firstLine="630" w:firstLineChars="300"/>
        <w:outlineLvl w:val="3"/>
        <w:rPr>
          <w:rFonts w:ascii="宋体"/>
        </w:rPr>
      </w:pPr>
      <w:bookmarkStart w:id="3388" w:name="_Toc497235506"/>
      <w:r>
        <w:rPr>
          <w:rFonts w:ascii="宋体" w:hAnsi="宋体"/>
        </w:rPr>
        <w:t xml:space="preserve">6.1.3  </w:t>
      </w:r>
      <w:r>
        <w:rPr>
          <w:rFonts w:hint="eastAsia" w:ascii="宋体" w:hAnsi="宋体"/>
        </w:rPr>
        <w:t>安全文明施工费用必须专款专用，保证安全文明施工措施的投入，并在财务管理中单独列支安全文明施工费账目备查。承包人应对其由于安全文明施工费用和施工安全措施不到位而发生的安全事故承担全部责任。</w:t>
      </w:r>
      <w:bookmarkEnd w:id="3388"/>
    </w:p>
    <w:p>
      <w:pPr>
        <w:spacing w:line="360" w:lineRule="auto"/>
        <w:ind w:firstLine="630" w:firstLineChars="300"/>
        <w:outlineLvl w:val="3"/>
        <w:rPr>
          <w:rFonts w:ascii="宋体"/>
        </w:rPr>
      </w:pPr>
      <w:bookmarkStart w:id="3389" w:name="_Toc497235507"/>
      <w:r>
        <w:rPr>
          <w:rFonts w:ascii="宋体" w:hAnsi="宋体"/>
        </w:rPr>
        <w:t xml:space="preserve">6.1.4  </w:t>
      </w:r>
      <w:r>
        <w:rPr>
          <w:rFonts w:hint="eastAsia" w:ascii="宋体" w:hAnsi="宋体"/>
        </w:rPr>
        <w:t>承包人应建立专门的施工场地（现场）安全生产管理机构，配备足够数量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bookmarkEnd w:id="3389"/>
    </w:p>
    <w:p>
      <w:pPr>
        <w:spacing w:line="360" w:lineRule="auto"/>
        <w:ind w:firstLine="630" w:firstLineChars="300"/>
        <w:outlineLvl w:val="3"/>
        <w:rPr>
          <w:rFonts w:ascii="宋体"/>
        </w:rPr>
      </w:pPr>
      <w:bookmarkStart w:id="3390" w:name="_Toc497235508"/>
      <w:r>
        <w:rPr>
          <w:rFonts w:ascii="宋体" w:hAnsi="宋体"/>
        </w:rPr>
        <w:t xml:space="preserve">6.1.5  </w:t>
      </w:r>
      <w:r>
        <w:rPr>
          <w:rFonts w:hint="eastAsia" w:ascii="宋体" w:hAnsi="宋体"/>
        </w:rPr>
        <w:t>承包人应遵照有关法律法规要求，编制印发安全防护手册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bookmarkEnd w:id="3390"/>
    </w:p>
    <w:p>
      <w:pPr>
        <w:spacing w:line="360" w:lineRule="auto"/>
        <w:ind w:firstLine="630" w:firstLineChars="300"/>
        <w:outlineLvl w:val="3"/>
        <w:rPr>
          <w:rFonts w:ascii="宋体"/>
        </w:rPr>
      </w:pPr>
      <w:bookmarkStart w:id="3391" w:name="_Toc497235509"/>
      <w:r>
        <w:rPr>
          <w:rFonts w:ascii="宋体" w:hAnsi="宋体"/>
        </w:rPr>
        <w:t xml:space="preserve">6.1.6  </w:t>
      </w:r>
      <w:r>
        <w:rPr>
          <w:rFonts w:hint="eastAsia" w:ascii="宋体" w:hAnsi="宋体"/>
        </w:rPr>
        <w:t>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bookmarkEnd w:id="3391"/>
    </w:p>
    <w:p>
      <w:pPr>
        <w:spacing w:line="360" w:lineRule="auto"/>
        <w:ind w:firstLine="630" w:firstLineChars="300"/>
        <w:outlineLvl w:val="3"/>
        <w:rPr>
          <w:rFonts w:ascii="宋体"/>
        </w:rPr>
      </w:pPr>
      <w:bookmarkStart w:id="3392" w:name="_Toc497235510"/>
      <w:r>
        <w:rPr>
          <w:rFonts w:ascii="宋体" w:hAnsi="宋体"/>
        </w:rPr>
        <w:t xml:space="preserve">6.1.7  </w:t>
      </w:r>
      <w:r>
        <w:rPr>
          <w:rFonts w:hint="eastAsia" w:ascii="宋体" w:hAnsi="宋体"/>
        </w:rPr>
        <w:t>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bookmarkEnd w:id="3392"/>
    </w:p>
    <w:p>
      <w:pPr>
        <w:spacing w:line="360" w:lineRule="auto"/>
        <w:ind w:firstLine="630" w:firstLineChars="300"/>
        <w:outlineLvl w:val="3"/>
        <w:rPr>
          <w:rFonts w:ascii="宋体"/>
        </w:rPr>
      </w:pPr>
      <w:bookmarkStart w:id="3393" w:name="_Toc497235511"/>
      <w:r>
        <w:rPr>
          <w:rFonts w:ascii="宋体" w:hAnsi="宋体"/>
        </w:rPr>
        <w:t xml:space="preserve">6.1.8  </w:t>
      </w:r>
      <w:r>
        <w:rPr>
          <w:rFonts w:hint="eastAsia" w:ascii="宋体" w:hAnsi="宋体"/>
        </w:rPr>
        <w:t>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bookmarkEnd w:id="3393"/>
    </w:p>
    <w:p>
      <w:pPr>
        <w:spacing w:line="360" w:lineRule="auto"/>
        <w:ind w:firstLine="630" w:firstLineChars="300"/>
        <w:outlineLvl w:val="3"/>
        <w:rPr>
          <w:rFonts w:ascii="宋体"/>
        </w:rPr>
      </w:pPr>
      <w:bookmarkStart w:id="3394" w:name="_Toc497235512"/>
      <w:r>
        <w:rPr>
          <w:rFonts w:ascii="宋体" w:hAnsi="宋体"/>
        </w:rPr>
        <w:t xml:space="preserve">6.1.9  </w:t>
      </w:r>
      <w:r>
        <w:rPr>
          <w:rFonts w:hint="eastAsia" w:ascii="宋体" w:hAnsi="宋体"/>
        </w:rPr>
        <w:t>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律、法规、规章、规范、标准和规程等的要求。</w:t>
      </w:r>
      <w:bookmarkEnd w:id="3394"/>
    </w:p>
    <w:p>
      <w:pPr>
        <w:spacing w:line="360" w:lineRule="auto"/>
        <w:ind w:firstLine="630" w:firstLineChars="300"/>
        <w:outlineLvl w:val="3"/>
        <w:rPr>
          <w:rFonts w:ascii="宋体"/>
        </w:rPr>
      </w:pPr>
      <w:bookmarkStart w:id="3395" w:name="_Toc497235513"/>
      <w:r>
        <w:rPr>
          <w:rFonts w:ascii="宋体" w:hAnsi="宋体"/>
        </w:rPr>
        <w:t>6.1.1</w:t>
      </w:r>
      <w:r>
        <w:rPr>
          <w:rFonts w:ascii="宋体"/>
        </w:rPr>
        <w:t xml:space="preserve">0  </w:t>
      </w:r>
      <w:r>
        <w:rPr>
          <w:rFonts w:hint="eastAsia" w:ascii="宋体" w:hAnsi="宋体"/>
        </w:rPr>
        <w:t>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bookmarkEnd w:id="3395"/>
    </w:p>
    <w:p>
      <w:pPr>
        <w:spacing w:line="360" w:lineRule="auto"/>
        <w:ind w:firstLine="630" w:firstLineChars="300"/>
        <w:outlineLvl w:val="3"/>
        <w:rPr>
          <w:rFonts w:ascii="宋体"/>
        </w:rPr>
      </w:pPr>
      <w:bookmarkStart w:id="3396" w:name="_Toc497235514"/>
      <w:r>
        <w:rPr>
          <w:rFonts w:ascii="宋体" w:hAnsi="宋体"/>
        </w:rPr>
        <w:t xml:space="preserve">6.1.11  </w:t>
      </w:r>
      <w:r>
        <w:rPr>
          <w:rFonts w:hint="eastAsia" w:ascii="宋体" w:hAnsi="宋体"/>
        </w:rPr>
        <w:t>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bookmarkEnd w:id="3396"/>
    </w:p>
    <w:p>
      <w:pPr>
        <w:spacing w:line="360" w:lineRule="auto"/>
        <w:ind w:firstLine="630" w:firstLineChars="300"/>
        <w:outlineLvl w:val="3"/>
        <w:rPr>
          <w:rFonts w:ascii="宋体"/>
        </w:rPr>
      </w:pPr>
      <w:bookmarkStart w:id="3397" w:name="_Toc497235515"/>
      <w:r>
        <w:rPr>
          <w:rFonts w:ascii="宋体" w:hAnsi="宋体"/>
        </w:rPr>
        <w:t xml:space="preserve">6.1.12  </w:t>
      </w:r>
      <w:r>
        <w:rPr>
          <w:rFonts w:hint="eastAsia" w:ascii="宋体" w:hAnsi="宋体"/>
        </w:rPr>
        <w:t>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bookmarkEnd w:id="3397"/>
    </w:p>
    <w:p>
      <w:pPr>
        <w:spacing w:line="360" w:lineRule="auto"/>
        <w:ind w:firstLine="630" w:firstLineChars="300"/>
        <w:outlineLvl w:val="3"/>
        <w:rPr>
          <w:rFonts w:ascii="宋体"/>
        </w:rPr>
      </w:pPr>
      <w:bookmarkStart w:id="3398" w:name="_Toc497235516"/>
      <w:r>
        <w:rPr>
          <w:rFonts w:ascii="宋体" w:hAnsi="宋体"/>
        </w:rPr>
        <w:t xml:space="preserve">6.1.13  </w:t>
      </w:r>
      <w:r>
        <w:rPr>
          <w:rFonts w:hint="eastAsia" w:ascii="宋体" w:hAnsi="宋体"/>
        </w:rPr>
        <w:t>承包人应成立应急救援小组，配备必要的应急救援器材和设备，制定灾害和生产安全事故的应急救援预案，并将应急救援预案报送监理人。应急救援预案应能随时组织应救专职人员、并定期组织演练。</w:t>
      </w:r>
      <w:bookmarkEnd w:id="3398"/>
    </w:p>
    <w:p>
      <w:pPr>
        <w:spacing w:line="360" w:lineRule="auto"/>
        <w:ind w:firstLine="630" w:firstLineChars="300"/>
        <w:outlineLvl w:val="3"/>
        <w:rPr>
          <w:rFonts w:ascii="宋体"/>
        </w:rPr>
      </w:pPr>
      <w:bookmarkStart w:id="3399" w:name="_Toc497235517"/>
      <w:r>
        <w:rPr>
          <w:rFonts w:ascii="宋体" w:hAnsi="宋体"/>
        </w:rPr>
        <w:t xml:space="preserve">6.1.14  </w:t>
      </w:r>
      <w:r>
        <w:rPr>
          <w:rFonts w:hint="eastAsia" w:ascii="宋体" w:hAnsi="宋体"/>
        </w:rPr>
        <w:t>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bookmarkEnd w:id="3399"/>
    </w:p>
    <w:p>
      <w:pPr>
        <w:spacing w:line="360" w:lineRule="auto"/>
        <w:ind w:firstLine="630" w:firstLineChars="300"/>
        <w:outlineLvl w:val="3"/>
        <w:rPr>
          <w:rFonts w:ascii="宋体"/>
        </w:rPr>
      </w:pPr>
      <w:bookmarkStart w:id="3400" w:name="_Toc497235518"/>
      <w:r>
        <w:rPr>
          <w:rFonts w:ascii="宋体" w:hAnsi="宋体"/>
        </w:rPr>
        <w:t xml:space="preserve">6.1.15  </w:t>
      </w:r>
      <w:r>
        <w:rPr>
          <w:rFonts w:hint="eastAsia" w:ascii="宋体" w:hAnsi="宋体"/>
        </w:rPr>
        <w:t>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bookmarkEnd w:id="3400"/>
    </w:p>
    <w:p>
      <w:pPr>
        <w:spacing w:line="360" w:lineRule="auto"/>
        <w:ind w:firstLine="630" w:firstLineChars="300"/>
        <w:outlineLvl w:val="3"/>
        <w:rPr>
          <w:rFonts w:ascii="宋体"/>
        </w:rPr>
      </w:pPr>
      <w:bookmarkStart w:id="3401" w:name="_Toc497235519"/>
      <w:r>
        <w:rPr>
          <w:rFonts w:ascii="宋体" w:hAnsi="宋体"/>
        </w:rPr>
        <w:t xml:space="preserve">6.1.16  </w:t>
      </w:r>
      <w:r>
        <w:rPr>
          <w:rFonts w:hint="eastAsia" w:ascii="宋体" w:hAnsi="宋体"/>
        </w:rPr>
        <w:t>承包人应按照合同条款第</w:t>
      </w:r>
      <w:r>
        <w:rPr>
          <w:rFonts w:ascii="宋体" w:hAnsi="宋体"/>
        </w:rPr>
        <w:t>9.5</w:t>
      </w:r>
      <w:r>
        <w:rPr>
          <w:rFonts w:hint="eastAsia" w:ascii="宋体" w:hAnsi="宋体"/>
        </w:rPr>
        <w:t>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bookmarkEnd w:id="3401"/>
    </w:p>
    <w:p>
      <w:pPr>
        <w:spacing w:line="360" w:lineRule="auto"/>
        <w:ind w:firstLine="630" w:firstLineChars="300"/>
        <w:outlineLvl w:val="3"/>
        <w:rPr>
          <w:rFonts w:ascii="宋体"/>
        </w:rPr>
      </w:pPr>
      <w:bookmarkStart w:id="3402" w:name="_Toc497235520"/>
      <w:r>
        <w:rPr>
          <w:rFonts w:ascii="宋体" w:hAnsi="宋体"/>
        </w:rPr>
        <w:t xml:space="preserve">6.1.17  </w:t>
      </w:r>
      <w:r>
        <w:rPr>
          <w:rFonts w:hint="eastAsia" w:ascii="宋体" w:hAnsi="宋体"/>
        </w:rPr>
        <w:t>承包人还应根据有关法律、法规、规定和条例等的要求，制定一套安全生产应急措施和程序，保证一旦出现任何安全事故，能立即保护好现场，抢救伤员和财产，保证施工生产的正常进行，防止损失扩大。</w:t>
      </w:r>
      <w:bookmarkEnd w:id="3402"/>
    </w:p>
    <w:p>
      <w:pPr>
        <w:spacing w:line="360" w:lineRule="auto"/>
        <w:ind w:firstLine="630" w:firstLineChars="300"/>
        <w:outlineLvl w:val="3"/>
        <w:rPr>
          <w:rFonts w:ascii="黑体" w:hAnsi="黑体" w:eastAsia="黑体"/>
        </w:rPr>
      </w:pPr>
      <w:bookmarkStart w:id="3403" w:name="_Toc497235521"/>
      <w:r>
        <w:rPr>
          <w:rFonts w:ascii="宋体" w:hAnsi="宋体"/>
        </w:rPr>
        <w:t xml:space="preserve">6.1.18  </w:t>
      </w:r>
      <w:r>
        <w:rPr>
          <w:rFonts w:hint="eastAsia" w:ascii="宋体" w:hAnsi="宋体"/>
        </w:rPr>
        <w:t>安全防护方面的其他要求</w:t>
      </w:r>
      <w:r>
        <w:rPr>
          <w:rFonts w:hint="eastAsia" w:ascii="黑体" w:hAnsi="黑体" w:eastAsia="黑体"/>
        </w:rPr>
        <w:t>见技术标准和要求专用部分。</w:t>
      </w:r>
      <w:bookmarkEnd w:id="3403"/>
    </w:p>
    <w:p>
      <w:pPr>
        <w:pStyle w:val="155"/>
        <w:spacing w:before="120" w:after="120"/>
      </w:pPr>
      <w:bookmarkStart w:id="3404" w:name="_Toc483580913"/>
      <w:bookmarkStart w:id="3405" w:name="_Toc489280036"/>
      <w:bookmarkStart w:id="3406" w:name="_Toc486580226"/>
      <w:bookmarkStart w:id="3407" w:name="_Toc117350594"/>
      <w:r>
        <w:t xml:space="preserve">6.2  </w:t>
      </w:r>
      <w:r>
        <w:rPr>
          <w:rFonts w:hint="eastAsia"/>
        </w:rPr>
        <w:t>临时消防</w:t>
      </w:r>
      <w:bookmarkEnd w:id="3404"/>
      <w:bookmarkEnd w:id="3405"/>
      <w:bookmarkEnd w:id="3406"/>
      <w:bookmarkEnd w:id="3407"/>
    </w:p>
    <w:p>
      <w:pPr>
        <w:spacing w:line="360" w:lineRule="auto"/>
        <w:ind w:firstLine="630" w:firstLineChars="300"/>
        <w:outlineLvl w:val="3"/>
        <w:rPr>
          <w:rFonts w:ascii="宋体"/>
        </w:rPr>
      </w:pPr>
      <w:bookmarkStart w:id="3408" w:name="_Toc497235523"/>
      <w:r>
        <w:rPr>
          <w:rFonts w:ascii="宋体" w:hAnsi="宋体"/>
        </w:rPr>
        <w:t xml:space="preserve">6.2.1  </w:t>
      </w:r>
      <w:r>
        <w:rPr>
          <w:rFonts w:hint="eastAsia" w:ascii="宋体" w:hAnsi="宋体"/>
        </w:rPr>
        <w:t>承包人应建立消防安全责任制度，制定用火、用电和使用易燃易爆等危险品的消防安全管理制度和操作规程。各项制度和规程等应满足相关法律法规和政府消防管理机构的要求。</w:t>
      </w:r>
      <w:bookmarkEnd w:id="3408"/>
    </w:p>
    <w:p>
      <w:pPr>
        <w:spacing w:line="360" w:lineRule="auto"/>
        <w:ind w:firstLine="630" w:firstLineChars="300"/>
        <w:outlineLvl w:val="3"/>
        <w:rPr>
          <w:rFonts w:ascii="宋体"/>
        </w:rPr>
      </w:pPr>
      <w:bookmarkStart w:id="3409" w:name="_Toc497235524"/>
      <w:r>
        <w:rPr>
          <w:rFonts w:ascii="宋体" w:hAnsi="宋体"/>
        </w:rPr>
        <w:t xml:space="preserve">6.2.2  </w:t>
      </w:r>
      <w:r>
        <w:rPr>
          <w:rFonts w:hint="eastAsia" w:ascii="宋体" w:hAnsi="宋体"/>
        </w:rPr>
        <w:t>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bookmarkEnd w:id="3409"/>
    </w:p>
    <w:p>
      <w:pPr>
        <w:spacing w:line="360" w:lineRule="auto"/>
        <w:ind w:firstLine="630" w:firstLineChars="300"/>
        <w:outlineLvl w:val="3"/>
        <w:rPr>
          <w:rFonts w:ascii="宋体"/>
        </w:rPr>
      </w:pPr>
      <w:bookmarkStart w:id="3410" w:name="_Toc497235525"/>
      <w:r>
        <w:rPr>
          <w:rFonts w:ascii="宋体" w:hAnsi="宋体"/>
        </w:rPr>
        <w:t xml:space="preserve">6.2.3  </w:t>
      </w:r>
      <w:r>
        <w:rPr>
          <w:rFonts w:hint="eastAsia" w:ascii="宋体" w:hAnsi="宋体"/>
        </w:rPr>
        <w:t>承包人应当成立由项目主要负责人担任组长的临时消防组或消防队，宣传消防基本知识和基本操作培训，组织消防演练，保证一旦发生火灾，能够组织有效的自救，保护生命和财产安全。</w:t>
      </w:r>
      <w:bookmarkEnd w:id="3410"/>
    </w:p>
    <w:p>
      <w:pPr>
        <w:spacing w:line="360" w:lineRule="auto"/>
        <w:ind w:firstLine="630" w:firstLineChars="300"/>
        <w:outlineLvl w:val="3"/>
        <w:rPr>
          <w:rFonts w:ascii="宋体"/>
        </w:rPr>
      </w:pPr>
      <w:bookmarkStart w:id="3411" w:name="_Toc497235526"/>
      <w:r>
        <w:rPr>
          <w:rFonts w:ascii="宋体" w:hAnsi="宋体"/>
        </w:rPr>
        <w:t xml:space="preserve">6.2.4  </w:t>
      </w:r>
      <w:r>
        <w:rPr>
          <w:rFonts w:hint="eastAsia" w:ascii="宋体" w:hAnsi="宋体"/>
        </w:rPr>
        <w:t>施工场地（现场）内的易燃、易爆物品应单独和安全地存放，设专人进行存放和领用管理。施工场地（现场）储有或正在使用易燃、易爆或可燃材料时或有明火施工的工序，应当实行严格的“用火证”管理制度。</w:t>
      </w:r>
      <w:bookmarkEnd w:id="3411"/>
    </w:p>
    <w:p>
      <w:pPr>
        <w:spacing w:line="360" w:lineRule="auto"/>
        <w:ind w:firstLine="630" w:firstLineChars="300"/>
        <w:outlineLvl w:val="3"/>
        <w:rPr>
          <w:rFonts w:ascii="宋体"/>
        </w:rPr>
      </w:pPr>
      <w:bookmarkStart w:id="3412" w:name="_Toc497235527"/>
      <w:r>
        <w:rPr>
          <w:rFonts w:ascii="宋体" w:hAnsi="宋体"/>
        </w:rPr>
        <w:t xml:space="preserve">6.2.5  </w:t>
      </w:r>
      <w:r>
        <w:rPr>
          <w:rFonts w:hint="eastAsia" w:ascii="宋体" w:hAnsi="宋体"/>
        </w:rPr>
        <w:t>临时消防方面的其他要求</w:t>
      </w:r>
      <w:r>
        <w:rPr>
          <w:rFonts w:hint="eastAsia" w:ascii="黑体" w:hAnsi="黑体" w:eastAsia="黑体"/>
        </w:rPr>
        <w:t>见技术标准和要求专用部分。</w:t>
      </w:r>
      <w:bookmarkEnd w:id="3412"/>
    </w:p>
    <w:p>
      <w:pPr>
        <w:pStyle w:val="155"/>
        <w:spacing w:before="120" w:after="120"/>
      </w:pPr>
      <w:bookmarkStart w:id="3413" w:name="_Toc483580914"/>
      <w:bookmarkStart w:id="3414" w:name="_Toc486580227"/>
      <w:bookmarkStart w:id="3415" w:name="_Toc489280037"/>
      <w:bookmarkStart w:id="3416" w:name="_Toc117350595"/>
      <w:r>
        <w:t xml:space="preserve">6.3  </w:t>
      </w:r>
      <w:r>
        <w:rPr>
          <w:rFonts w:hint="eastAsia"/>
        </w:rPr>
        <w:t>临时供电</w:t>
      </w:r>
      <w:bookmarkEnd w:id="3413"/>
      <w:bookmarkEnd w:id="3414"/>
      <w:bookmarkEnd w:id="3415"/>
      <w:bookmarkEnd w:id="3416"/>
    </w:p>
    <w:p>
      <w:pPr>
        <w:spacing w:line="360" w:lineRule="auto"/>
        <w:ind w:firstLine="630" w:firstLineChars="300"/>
        <w:outlineLvl w:val="3"/>
        <w:rPr>
          <w:rFonts w:ascii="宋体"/>
        </w:rPr>
      </w:pPr>
      <w:bookmarkStart w:id="3417" w:name="_Toc497235529"/>
      <w:r>
        <w:rPr>
          <w:rFonts w:ascii="宋体" w:hAnsi="宋体"/>
        </w:rPr>
        <w:t xml:space="preserve">6.3.1  </w:t>
      </w:r>
      <w:r>
        <w:rPr>
          <w:rFonts w:hint="eastAsia" w:ascii="宋体" w:hAnsi="宋体"/>
        </w:rPr>
        <w:t>承包人应当根据《施工现场临时用电安全技术规范》（</w:t>
      </w:r>
      <w:r>
        <w:rPr>
          <w:rFonts w:ascii="宋体" w:hAnsi="宋体"/>
        </w:rPr>
        <w:t>JGJ46-2005</w:t>
      </w:r>
      <w:r>
        <w:rPr>
          <w:rFonts w:hint="eastAsia" w:ascii="宋体" w:hAnsi="宋体"/>
        </w:rPr>
        <w:t>）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bookmarkEnd w:id="3417"/>
    </w:p>
    <w:p>
      <w:pPr>
        <w:spacing w:line="360" w:lineRule="auto"/>
        <w:ind w:firstLine="630" w:firstLineChars="300"/>
        <w:outlineLvl w:val="3"/>
        <w:rPr>
          <w:rFonts w:ascii="宋体"/>
        </w:rPr>
      </w:pPr>
      <w:bookmarkStart w:id="3418" w:name="_Toc497235530"/>
      <w:r>
        <w:rPr>
          <w:rFonts w:ascii="宋体" w:hAnsi="宋体"/>
        </w:rPr>
        <w:t xml:space="preserve">6.3.2  </w:t>
      </w:r>
      <w:r>
        <w:rPr>
          <w:rFonts w:hint="eastAsia" w:ascii="宋体" w:hAnsi="宋体"/>
        </w:rPr>
        <w:t>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bookmarkEnd w:id="3418"/>
    </w:p>
    <w:p>
      <w:pPr>
        <w:spacing w:line="360" w:lineRule="auto"/>
        <w:ind w:firstLine="630" w:firstLineChars="300"/>
        <w:outlineLvl w:val="3"/>
        <w:rPr>
          <w:rFonts w:ascii="宋体"/>
        </w:rPr>
      </w:pPr>
      <w:bookmarkStart w:id="3419" w:name="_Toc497235531"/>
      <w:r>
        <w:rPr>
          <w:rFonts w:ascii="宋体" w:hAnsi="宋体"/>
        </w:rPr>
        <w:t xml:space="preserve">6.3.3  </w:t>
      </w:r>
      <w:r>
        <w:rPr>
          <w:rFonts w:hint="eastAsia" w:ascii="宋体" w:hAnsi="宋体"/>
        </w:rPr>
        <w:t>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严地面明设，并应避免机械损伤和介质腐蚀。埋地电缆路径应设方位标志。各种配电设备均设有防止漏电和防雨防水设施。</w:t>
      </w:r>
      <w:bookmarkEnd w:id="3419"/>
    </w:p>
    <w:p>
      <w:pPr>
        <w:spacing w:line="360" w:lineRule="auto"/>
        <w:ind w:firstLine="630" w:firstLineChars="300"/>
        <w:outlineLvl w:val="3"/>
        <w:rPr>
          <w:rFonts w:ascii="宋体"/>
        </w:rPr>
      </w:pPr>
      <w:bookmarkStart w:id="3420" w:name="_Toc497235532"/>
      <w:r>
        <w:rPr>
          <w:rFonts w:ascii="宋体" w:hAnsi="宋体"/>
        </w:rPr>
        <w:t xml:space="preserve">6.3.4  </w:t>
      </w:r>
      <w:r>
        <w:rPr>
          <w:rFonts w:hint="eastAsia" w:ascii="宋体" w:hAnsi="宋体"/>
        </w:rPr>
        <w:t>承包人应在施工作业区、施工道路、临时设施、办公区和生活区设置足够的照明，地下工程照明系统的电压不得高于</w:t>
      </w:r>
      <w:r>
        <w:rPr>
          <w:rFonts w:ascii="宋体" w:hAnsi="宋体"/>
        </w:rPr>
        <w:t>36V</w:t>
      </w:r>
      <w:r>
        <w:rPr>
          <w:rFonts w:hint="eastAsia" w:ascii="宋体" w:hAnsi="宋体"/>
        </w:rPr>
        <w:t>，在潮湿和易触及带电体场所的照明供电电压不应大于</w:t>
      </w:r>
      <w:r>
        <w:rPr>
          <w:rFonts w:ascii="宋体" w:hAnsi="宋体"/>
        </w:rPr>
        <w:t>24V</w:t>
      </w:r>
      <w:r>
        <w:rPr>
          <w:rFonts w:hint="eastAsia" w:ascii="宋体" w:hAnsi="宋体"/>
        </w:rPr>
        <w:t>。不便于使用电器照明的工作面应采用特殊照明设施。</w:t>
      </w:r>
      <w:bookmarkEnd w:id="3420"/>
    </w:p>
    <w:p>
      <w:pPr>
        <w:spacing w:line="360" w:lineRule="auto"/>
        <w:ind w:firstLine="630" w:firstLineChars="300"/>
        <w:outlineLvl w:val="3"/>
        <w:rPr>
          <w:rFonts w:ascii="宋体"/>
        </w:rPr>
      </w:pPr>
      <w:bookmarkStart w:id="3421" w:name="_Toc497235533"/>
      <w:r>
        <w:rPr>
          <w:rFonts w:ascii="宋体" w:hAnsi="宋体"/>
        </w:rPr>
        <w:t xml:space="preserve">6.3.5  </w:t>
      </w:r>
      <w:r>
        <w:rPr>
          <w:rFonts w:hint="eastAsia" w:ascii="宋体" w:hAnsi="宋体"/>
        </w:rPr>
        <w:t>凡可能漏电伤人或易受雷击的电器及建筑物均应设置接地和避雷装置。承包人应负责避雷装置的采购、安装、管理和维修，并建立定期检查制度。</w:t>
      </w:r>
      <w:bookmarkEnd w:id="3421"/>
    </w:p>
    <w:p>
      <w:pPr>
        <w:spacing w:line="360" w:lineRule="auto"/>
        <w:ind w:firstLine="630" w:firstLineChars="300"/>
        <w:outlineLvl w:val="3"/>
        <w:rPr>
          <w:rFonts w:ascii="黑体" w:hAnsi="黑体" w:eastAsia="黑体"/>
        </w:rPr>
      </w:pPr>
      <w:bookmarkStart w:id="3422" w:name="_Toc497235534"/>
      <w:r>
        <w:rPr>
          <w:rFonts w:ascii="宋体" w:hAnsi="宋体"/>
        </w:rPr>
        <w:t xml:space="preserve">6.3.6  </w:t>
      </w:r>
      <w:r>
        <w:rPr>
          <w:rFonts w:hint="eastAsia" w:ascii="宋体" w:hAnsi="宋体"/>
        </w:rPr>
        <w:t>临时用电方面的其他要求</w:t>
      </w:r>
      <w:r>
        <w:rPr>
          <w:rFonts w:hint="eastAsia" w:ascii="黑体" w:hAnsi="黑体" w:eastAsia="黑体"/>
        </w:rPr>
        <w:t>见技术标准和要求专用部分。</w:t>
      </w:r>
      <w:bookmarkEnd w:id="3422"/>
    </w:p>
    <w:p>
      <w:pPr>
        <w:pStyle w:val="155"/>
        <w:spacing w:before="120" w:after="120"/>
      </w:pPr>
      <w:bookmarkStart w:id="3423" w:name="_Toc483580915"/>
      <w:bookmarkStart w:id="3424" w:name="_Toc486580228"/>
      <w:bookmarkStart w:id="3425" w:name="_Toc489280038"/>
      <w:bookmarkStart w:id="3426" w:name="_Toc117350596"/>
      <w:r>
        <w:t xml:space="preserve">6.4  </w:t>
      </w:r>
      <w:r>
        <w:rPr>
          <w:rFonts w:hint="eastAsia"/>
        </w:rPr>
        <w:t>劳动保护</w:t>
      </w:r>
      <w:bookmarkEnd w:id="3423"/>
      <w:bookmarkEnd w:id="3424"/>
      <w:bookmarkEnd w:id="3425"/>
      <w:bookmarkEnd w:id="3426"/>
    </w:p>
    <w:p>
      <w:pPr>
        <w:spacing w:line="360" w:lineRule="auto"/>
        <w:ind w:firstLine="630" w:firstLineChars="300"/>
        <w:outlineLvl w:val="3"/>
        <w:rPr>
          <w:rFonts w:ascii="宋体"/>
        </w:rPr>
      </w:pPr>
      <w:bookmarkStart w:id="3427" w:name="_Toc497235536"/>
      <w:r>
        <w:rPr>
          <w:rFonts w:ascii="宋体" w:hAnsi="宋体"/>
        </w:rPr>
        <w:t xml:space="preserve">6.4.1  </w:t>
      </w:r>
      <w:r>
        <w:rPr>
          <w:rFonts w:hint="eastAsia" w:ascii="宋体" w:hAnsi="宋体"/>
        </w:rPr>
        <w:t>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bookmarkEnd w:id="3427"/>
    </w:p>
    <w:p>
      <w:pPr>
        <w:spacing w:line="360" w:lineRule="auto"/>
        <w:ind w:firstLine="630" w:firstLineChars="300"/>
        <w:outlineLvl w:val="3"/>
        <w:rPr>
          <w:rFonts w:ascii="宋体"/>
        </w:rPr>
      </w:pPr>
      <w:bookmarkStart w:id="3428" w:name="_Toc497235537"/>
      <w:r>
        <w:rPr>
          <w:rFonts w:ascii="宋体" w:hAnsi="宋体"/>
        </w:rPr>
        <w:t xml:space="preserve">6.4.2  </w:t>
      </w:r>
      <w:r>
        <w:rPr>
          <w:rFonts w:hint="eastAsia" w:ascii="宋体" w:hAnsi="宋体"/>
        </w:rPr>
        <w:t>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bookmarkEnd w:id="3428"/>
    </w:p>
    <w:p>
      <w:pPr>
        <w:spacing w:line="360" w:lineRule="auto"/>
        <w:ind w:firstLine="630" w:firstLineChars="300"/>
        <w:outlineLvl w:val="3"/>
        <w:rPr>
          <w:rFonts w:ascii="宋体"/>
        </w:rPr>
      </w:pPr>
      <w:bookmarkStart w:id="3429" w:name="_Toc497235538"/>
      <w:r>
        <w:rPr>
          <w:rFonts w:ascii="宋体" w:hAnsi="宋体"/>
        </w:rPr>
        <w:t xml:space="preserve">6.4.3  </w:t>
      </w:r>
      <w:r>
        <w:rPr>
          <w:rFonts w:hint="eastAsia" w:ascii="宋体" w:hAnsi="宋体"/>
        </w:rPr>
        <w:t>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bookmarkEnd w:id="3429"/>
    </w:p>
    <w:p>
      <w:pPr>
        <w:spacing w:line="360" w:lineRule="auto"/>
        <w:ind w:firstLine="630" w:firstLineChars="300"/>
        <w:outlineLvl w:val="3"/>
        <w:rPr>
          <w:rFonts w:ascii="宋体"/>
        </w:rPr>
      </w:pPr>
      <w:r>
        <w:rPr>
          <w:rFonts w:ascii="宋体" w:hAnsi="宋体"/>
        </w:rPr>
        <w:t xml:space="preserve">6.4.4  </w:t>
      </w:r>
      <w:r>
        <w:rPr>
          <w:rFonts w:hint="eastAsia" w:ascii="宋体" w:hAnsi="宋体"/>
        </w:rPr>
        <w:t>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pPr>
        <w:spacing w:line="360" w:lineRule="auto"/>
        <w:ind w:firstLine="630" w:firstLineChars="300"/>
        <w:outlineLvl w:val="3"/>
        <w:rPr>
          <w:rFonts w:ascii="宋体"/>
        </w:rPr>
      </w:pPr>
      <w:bookmarkStart w:id="3430" w:name="_Toc497235540"/>
      <w:r>
        <w:rPr>
          <w:rFonts w:ascii="宋体" w:hAnsi="宋体"/>
        </w:rPr>
        <w:t xml:space="preserve">6.4.5  </w:t>
      </w:r>
      <w:r>
        <w:rPr>
          <w:rFonts w:hint="eastAsia" w:ascii="宋体" w:hAnsi="宋体"/>
        </w:rPr>
        <w:t>承包人应在现场设立专门的临时医疗站，配备足够的设施、药物和称职的医务人员，承包人还应准备急救担架，用于一旦发生安全事故时对受伤人员的急救。</w:t>
      </w:r>
      <w:bookmarkEnd w:id="3430"/>
    </w:p>
    <w:p>
      <w:pPr>
        <w:spacing w:line="360" w:lineRule="auto"/>
        <w:ind w:firstLine="630" w:firstLineChars="300"/>
        <w:outlineLvl w:val="3"/>
        <w:rPr>
          <w:rFonts w:ascii="宋体"/>
        </w:rPr>
      </w:pPr>
      <w:bookmarkStart w:id="3431" w:name="_Toc497235541"/>
      <w:r>
        <w:rPr>
          <w:rFonts w:ascii="宋体" w:hAnsi="宋体"/>
        </w:rPr>
        <w:t xml:space="preserve">6.4.6  </w:t>
      </w:r>
      <w:r>
        <w:rPr>
          <w:rFonts w:hint="eastAsia" w:ascii="宋体" w:hAnsi="宋体"/>
        </w:rPr>
        <w:t>劳动保护方面的其他要求</w:t>
      </w:r>
      <w:r>
        <w:rPr>
          <w:rFonts w:hint="eastAsia" w:ascii="黑体" w:hAnsi="黑体" w:eastAsia="黑体"/>
        </w:rPr>
        <w:t>见技术标准和要求专用部分。</w:t>
      </w:r>
      <w:bookmarkEnd w:id="3431"/>
    </w:p>
    <w:p>
      <w:pPr>
        <w:pStyle w:val="155"/>
        <w:spacing w:before="120" w:after="120"/>
      </w:pPr>
      <w:bookmarkStart w:id="3432" w:name="_Toc486580229"/>
      <w:bookmarkStart w:id="3433" w:name="_Toc489280039"/>
      <w:bookmarkStart w:id="3434" w:name="_Toc483580916"/>
      <w:bookmarkStart w:id="3435" w:name="_Toc117350597"/>
      <w:r>
        <w:t xml:space="preserve">6.5  </w:t>
      </w:r>
      <w:r>
        <w:rPr>
          <w:rFonts w:hint="eastAsia"/>
        </w:rPr>
        <w:t>脚手架</w:t>
      </w:r>
      <w:bookmarkEnd w:id="3432"/>
      <w:bookmarkEnd w:id="3433"/>
      <w:bookmarkEnd w:id="3434"/>
      <w:bookmarkEnd w:id="3435"/>
    </w:p>
    <w:p>
      <w:pPr>
        <w:spacing w:line="360" w:lineRule="auto"/>
        <w:ind w:firstLine="630" w:firstLineChars="300"/>
        <w:outlineLvl w:val="3"/>
        <w:rPr>
          <w:rFonts w:ascii="宋体"/>
        </w:rPr>
      </w:pPr>
      <w:bookmarkStart w:id="3436" w:name="_Toc497235543"/>
      <w:r>
        <w:rPr>
          <w:rFonts w:ascii="宋体" w:hAnsi="宋体"/>
        </w:rPr>
        <w:t xml:space="preserve">6.5.1  </w:t>
      </w:r>
      <w:r>
        <w:rPr>
          <w:rFonts w:hint="eastAsia" w:ascii="宋体" w:hAnsi="宋体"/>
        </w:rPr>
        <w:t>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bookmarkEnd w:id="3436"/>
    </w:p>
    <w:p>
      <w:pPr>
        <w:spacing w:line="360" w:lineRule="auto"/>
        <w:ind w:firstLine="630" w:firstLineChars="300"/>
        <w:outlineLvl w:val="3"/>
        <w:rPr>
          <w:rFonts w:ascii="宋体"/>
        </w:rPr>
      </w:pPr>
      <w:bookmarkStart w:id="3437" w:name="_Toc497235544"/>
      <w:r>
        <w:rPr>
          <w:rFonts w:ascii="宋体" w:hAnsi="宋体"/>
        </w:rPr>
        <w:t xml:space="preserve">6.5.2  </w:t>
      </w:r>
      <w:r>
        <w:rPr>
          <w:rFonts w:hint="eastAsia" w:ascii="宋体" w:hAnsi="宋体"/>
        </w:rPr>
        <w:t>所有脚手架，尤其是大型、复杂、高耸和非常规脚手架，要编制专项施工方案，还应当经过安全验算，脚手架安全验算结果必须报送监理人核查后方可实施。</w:t>
      </w:r>
      <w:bookmarkEnd w:id="3437"/>
    </w:p>
    <w:p>
      <w:pPr>
        <w:spacing w:line="360" w:lineRule="auto"/>
        <w:ind w:firstLine="630" w:firstLineChars="300"/>
        <w:outlineLvl w:val="3"/>
        <w:rPr>
          <w:rFonts w:ascii="宋体"/>
        </w:rPr>
      </w:pPr>
      <w:bookmarkStart w:id="3438" w:name="_Toc497235545"/>
      <w:r>
        <w:rPr>
          <w:rFonts w:ascii="宋体" w:hAnsi="宋体"/>
        </w:rPr>
        <w:t xml:space="preserve">6.5.3  </w:t>
      </w:r>
      <w:r>
        <w:rPr>
          <w:rFonts w:hint="eastAsia" w:ascii="宋体" w:hAnsi="宋体"/>
        </w:rPr>
        <w:t>搭设爬架、挂架、超高脚手架等特种或新型脚手架时，承包人应确保此类脚手架的安全性和保证此类脚手架已经过有关行政管理部门允许使用的批准，并承担与此有关的一切费用。</w:t>
      </w:r>
      <w:bookmarkEnd w:id="3438"/>
    </w:p>
    <w:p>
      <w:pPr>
        <w:spacing w:line="360" w:lineRule="auto"/>
        <w:ind w:firstLine="630" w:firstLineChars="300"/>
        <w:outlineLvl w:val="3"/>
        <w:rPr>
          <w:rFonts w:ascii="宋体"/>
        </w:rPr>
      </w:pPr>
      <w:bookmarkStart w:id="3439" w:name="_Toc497235546"/>
      <w:r>
        <w:rPr>
          <w:rFonts w:ascii="宋体" w:hAnsi="宋体"/>
        </w:rPr>
        <w:t xml:space="preserve">6.5.4  </w:t>
      </w:r>
      <w:r>
        <w:rPr>
          <w:rFonts w:hint="eastAsia" w:ascii="宋体" w:hAnsi="宋体"/>
        </w:rPr>
        <w:t>承包人应当加强脚手架的日常安全巡查，及时对其中的安全隐患进行整改，确保脚手架使用安全。雨、雪、雾、霜和大风等天气后，承包人必须对脚手架进行安全巡查，并及时消除安全隐患。</w:t>
      </w:r>
      <w:bookmarkEnd w:id="3439"/>
    </w:p>
    <w:p>
      <w:pPr>
        <w:spacing w:line="360" w:lineRule="auto"/>
        <w:ind w:firstLine="630" w:firstLineChars="300"/>
        <w:outlineLvl w:val="3"/>
        <w:rPr>
          <w:rFonts w:ascii="宋体"/>
        </w:rPr>
      </w:pPr>
      <w:bookmarkStart w:id="3440" w:name="_Toc497235547"/>
      <w:r>
        <w:rPr>
          <w:rFonts w:ascii="宋体" w:hAnsi="宋体"/>
        </w:rPr>
        <w:t xml:space="preserve">6.5.5  </w:t>
      </w:r>
      <w:r>
        <w:rPr>
          <w:rFonts w:hint="eastAsia" w:ascii="宋体" w:hAnsi="宋体"/>
        </w:rPr>
        <w:t>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bookmarkEnd w:id="3440"/>
    </w:p>
    <w:p>
      <w:pPr>
        <w:spacing w:line="360" w:lineRule="auto"/>
        <w:ind w:firstLine="630" w:firstLineChars="300"/>
        <w:outlineLvl w:val="3"/>
        <w:rPr>
          <w:rFonts w:ascii="宋体"/>
        </w:rPr>
      </w:pPr>
      <w:bookmarkStart w:id="3441" w:name="_Toc497235548"/>
      <w:r>
        <w:rPr>
          <w:rFonts w:ascii="宋体" w:hAnsi="宋体"/>
        </w:rPr>
        <w:t xml:space="preserve">6.5.6  </w:t>
      </w:r>
      <w:r>
        <w:rPr>
          <w:rFonts w:hint="eastAsia" w:ascii="宋体" w:hAnsi="宋体"/>
        </w:rPr>
        <w:t>脚手架的其他要求</w:t>
      </w:r>
      <w:r>
        <w:rPr>
          <w:rFonts w:hint="eastAsia" w:ascii="黑体" w:hAnsi="黑体" w:eastAsia="黑体"/>
        </w:rPr>
        <w:t>见技术标准和要求专用部分。</w:t>
      </w:r>
      <w:bookmarkEnd w:id="3441"/>
    </w:p>
    <w:p>
      <w:pPr>
        <w:pStyle w:val="155"/>
        <w:spacing w:before="120" w:after="120"/>
      </w:pPr>
      <w:bookmarkStart w:id="3442" w:name="_Toc489280040"/>
      <w:bookmarkStart w:id="3443" w:name="_Toc483580917"/>
      <w:bookmarkStart w:id="3444" w:name="_Toc486580230"/>
      <w:bookmarkStart w:id="3445" w:name="_Toc117350598"/>
      <w:r>
        <w:t xml:space="preserve">6.6  </w:t>
      </w:r>
      <w:r>
        <w:rPr>
          <w:rFonts w:hint="eastAsia"/>
        </w:rPr>
        <w:t>施工安全措施计划</w:t>
      </w:r>
      <w:bookmarkEnd w:id="3442"/>
      <w:bookmarkEnd w:id="3443"/>
      <w:bookmarkEnd w:id="3444"/>
      <w:bookmarkEnd w:id="3445"/>
    </w:p>
    <w:p>
      <w:pPr>
        <w:spacing w:line="360" w:lineRule="auto"/>
        <w:ind w:firstLine="630" w:firstLineChars="300"/>
        <w:outlineLvl w:val="3"/>
        <w:rPr>
          <w:rFonts w:ascii="宋体"/>
        </w:rPr>
      </w:pPr>
      <w:bookmarkStart w:id="3446" w:name="_Toc497235550"/>
      <w:r>
        <w:rPr>
          <w:rFonts w:ascii="宋体" w:hAnsi="宋体"/>
        </w:rPr>
        <w:t xml:space="preserve">6.6.1  </w:t>
      </w:r>
      <w:r>
        <w:rPr>
          <w:rFonts w:hint="eastAsia" w:ascii="宋体" w:hAnsi="宋体"/>
        </w:rPr>
        <w:t>承包人应根据《中华人民共和国安全生产法》、《职业健康安全管理体系规范》、《中华人民共和国消防法》、《中华人民共和国道路交通安全法》、《中华人民共和国传染病防治法实施办法》和地方有关的法规等，按照合同条款第</w:t>
      </w:r>
      <w:r>
        <w:rPr>
          <w:rFonts w:ascii="宋体" w:hAnsi="宋体"/>
        </w:rPr>
        <w:t>9.2.1</w:t>
      </w:r>
      <w:r>
        <w:rPr>
          <w:rFonts w:hint="eastAsia" w:ascii="宋体" w:hAnsi="宋体"/>
        </w:rPr>
        <w:t>项的约定，编制一份施工安全措施计划，报送监理人审批。</w:t>
      </w:r>
      <w:bookmarkEnd w:id="3446"/>
    </w:p>
    <w:p>
      <w:pPr>
        <w:spacing w:line="360" w:lineRule="auto"/>
        <w:ind w:firstLine="630" w:firstLineChars="300"/>
        <w:outlineLvl w:val="3"/>
        <w:rPr>
          <w:rFonts w:ascii="宋体"/>
        </w:rPr>
      </w:pPr>
      <w:bookmarkStart w:id="3447" w:name="_Toc497235551"/>
      <w:r>
        <w:rPr>
          <w:rFonts w:ascii="宋体" w:hAnsi="宋体"/>
        </w:rPr>
        <w:t xml:space="preserve">6.6.2  </w:t>
      </w:r>
      <w:r>
        <w:rPr>
          <w:rFonts w:hint="eastAsia" w:ascii="宋体" w:hAnsi="宋体"/>
        </w:rPr>
        <w:t>施工安全措施计划是承包人阐明其安全管理方针、管理体系、安全制度和安全措施等的文件，其内容应当反映现行法律法规规定的，和合同约定的以及本条上述约定的承包人安全职责，至少包括：</w:t>
      </w:r>
      <w:bookmarkEnd w:id="3447"/>
    </w:p>
    <w:p>
      <w:pPr>
        <w:spacing w:line="360" w:lineRule="auto"/>
        <w:ind w:firstLine="630" w:firstLineChars="300"/>
        <w:outlineLvl w:val="3"/>
        <w:rPr>
          <w:rFonts w:ascii="宋体"/>
        </w:rPr>
      </w:pPr>
      <w:bookmarkStart w:id="3448" w:name="_Toc497235552"/>
      <w:r>
        <w:rPr>
          <w:rFonts w:hint="eastAsia" w:ascii="宋体" w:hAnsi="宋体"/>
        </w:rPr>
        <w:t>（</w:t>
      </w:r>
      <w:r>
        <w:rPr>
          <w:rFonts w:ascii="宋体" w:hAnsi="宋体"/>
        </w:rPr>
        <w:t>1</w:t>
      </w:r>
      <w:r>
        <w:rPr>
          <w:rFonts w:hint="eastAsia" w:ascii="宋体" w:hAnsi="宋体"/>
        </w:rPr>
        <w:t>）施工安全管理机构的设置；</w:t>
      </w:r>
      <w:bookmarkEnd w:id="3448"/>
    </w:p>
    <w:p>
      <w:pPr>
        <w:spacing w:line="360" w:lineRule="auto"/>
        <w:ind w:firstLine="630" w:firstLineChars="300"/>
        <w:outlineLvl w:val="3"/>
        <w:rPr>
          <w:rFonts w:ascii="宋体"/>
        </w:rPr>
      </w:pPr>
      <w:bookmarkStart w:id="3449" w:name="_Toc497235553"/>
      <w:r>
        <w:rPr>
          <w:rFonts w:hint="eastAsia" w:ascii="宋体" w:hAnsi="宋体"/>
        </w:rPr>
        <w:t>（</w:t>
      </w:r>
      <w:r>
        <w:rPr>
          <w:rFonts w:ascii="宋体" w:hAnsi="宋体"/>
        </w:rPr>
        <w:t>2</w:t>
      </w:r>
      <w:r>
        <w:rPr>
          <w:rFonts w:hint="eastAsia" w:ascii="宋体" w:hAnsi="宋体"/>
        </w:rPr>
        <w:t>）专职安全管理人员的配备；</w:t>
      </w:r>
      <w:bookmarkEnd w:id="3449"/>
    </w:p>
    <w:p>
      <w:pPr>
        <w:spacing w:line="360" w:lineRule="auto"/>
        <w:ind w:firstLine="630" w:firstLineChars="300"/>
        <w:outlineLvl w:val="3"/>
        <w:rPr>
          <w:rFonts w:ascii="宋体"/>
        </w:rPr>
      </w:pPr>
      <w:bookmarkStart w:id="3450" w:name="_Toc497235554"/>
      <w:r>
        <w:rPr>
          <w:rFonts w:hint="eastAsia" w:ascii="宋体" w:hAnsi="宋体"/>
        </w:rPr>
        <w:t>（</w:t>
      </w:r>
      <w:r>
        <w:rPr>
          <w:rFonts w:ascii="宋体" w:hAnsi="宋体"/>
        </w:rPr>
        <w:t>3</w:t>
      </w:r>
      <w:r>
        <w:rPr>
          <w:rFonts w:hint="eastAsia" w:ascii="宋体" w:hAnsi="宋体"/>
        </w:rPr>
        <w:t>）安全责任制度和管理措施；</w:t>
      </w:r>
      <w:bookmarkEnd w:id="3450"/>
    </w:p>
    <w:p>
      <w:pPr>
        <w:spacing w:line="360" w:lineRule="auto"/>
        <w:ind w:firstLine="630" w:firstLineChars="300"/>
        <w:outlineLvl w:val="3"/>
        <w:rPr>
          <w:rFonts w:ascii="宋体"/>
        </w:rPr>
      </w:pPr>
      <w:bookmarkStart w:id="3451" w:name="_Toc497235555"/>
      <w:r>
        <w:rPr>
          <w:rFonts w:hint="eastAsia" w:ascii="宋体" w:hAnsi="宋体"/>
        </w:rPr>
        <w:t>（</w:t>
      </w:r>
      <w:r>
        <w:rPr>
          <w:rFonts w:ascii="宋体" w:hAnsi="宋体"/>
        </w:rPr>
        <w:t>4</w:t>
      </w:r>
      <w:r>
        <w:rPr>
          <w:rFonts w:hint="eastAsia" w:ascii="宋体" w:hAnsi="宋体"/>
        </w:rPr>
        <w:t>）安全教育和培训制度及管理措施；</w:t>
      </w:r>
      <w:bookmarkEnd w:id="3451"/>
    </w:p>
    <w:p>
      <w:pPr>
        <w:spacing w:line="360" w:lineRule="auto"/>
        <w:ind w:firstLine="630" w:firstLineChars="300"/>
        <w:outlineLvl w:val="3"/>
        <w:rPr>
          <w:rFonts w:ascii="宋体"/>
        </w:rPr>
      </w:pPr>
      <w:bookmarkStart w:id="3452" w:name="_Toc497235556"/>
      <w:r>
        <w:rPr>
          <w:rFonts w:hint="eastAsia" w:ascii="宋体" w:hAnsi="宋体"/>
        </w:rPr>
        <w:t>（</w:t>
      </w:r>
      <w:r>
        <w:rPr>
          <w:rFonts w:ascii="宋体" w:hAnsi="宋体"/>
        </w:rPr>
        <w:t>5</w:t>
      </w:r>
      <w:r>
        <w:rPr>
          <w:rFonts w:hint="eastAsia" w:ascii="宋体" w:hAnsi="宋体"/>
        </w:rPr>
        <w:t>）各项安全生产规章制度和操作规程；</w:t>
      </w:r>
      <w:bookmarkEnd w:id="3452"/>
    </w:p>
    <w:p>
      <w:pPr>
        <w:spacing w:line="360" w:lineRule="auto"/>
        <w:ind w:firstLine="630" w:firstLineChars="300"/>
        <w:outlineLvl w:val="3"/>
        <w:rPr>
          <w:rFonts w:ascii="宋体"/>
        </w:rPr>
      </w:pPr>
      <w:bookmarkStart w:id="3453" w:name="_Toc497235557"/>
      <w:r>
        <w:rPr>
          <w:rFonts w:hint="eastAsia" w:ascii="宋体" w:hAnsi="宋体"/>
        </w:rPr>
        <w:t>（</w:t>
      </w:r>
      <w:r>
        <w:rPr>
          <w:rFonts w:ascii="宋体" w:hAnsi="宋体"/>
        </w:rPr>
        <w:t>6</w:t>
      </w:r>
      <w:r>
        <w:rPr>
          <w:rFonts w:hint="eastAsia" w:ascii="宋体" w:hAnsi="宋体"/>
        </w:rPr>
        <w:t>）各项施工安全措施和防护措施；</w:t>
      </w:r>
      <w:bookmarkEnd w:id="3453"/>
    </w:p>
    <w:p>
      <w:pPr>
        <w:spacing w:line="360" w:lineRule="auto"/>
        <w:ind w:firstLine="630" w:firstLineChars="300"/>
        <w:outlineLvl w:val="3"/>
        <w:rPr>
          <w:rFonts w:ascii="宋体"/>
        </w:rPr>
      </w:pPr>
      <w:bookmarkStart w:id="3454" w:name="_Toc497235558"/>
      <w:r>
        <w:rPr>
          <w:rFonts w:hint="eastAsia" w:ascii="宋体" w:hAnsi="宋体"/>
        </w:rPr>
        <w:t>（</w:t>
      </w:r>
      <w:r>
        <w:rPr>
          <w:rFonts w:ascii="宋体" w:hAnsi="宋体"/>
        </w:rPr>
        <w:t>7</w:t>
      </w:r>
      <w:r>
        <w:rPr>
          <w:rFonts w:hint="eastAsia" w:ascii="宋体" w:hAnsi="宋体"/>
        </w:rPr>
        <w:t>）危险品管理和使用制度；</w:t>
      </w:r>
      <w:bookmarkEnd w:id="3454"/>
    </w:p>
    <w:p>
      <w:pPr>
        <w:spacing w:line="360" w:lineRule="auto"/>
        <w:ind w:firstLine="630" w:firstLineChars="300"/>
        <w:outlineLvl w:val="3"/>
        <w:rPr>
          <w:rFonts w:ascii="宋体"/>
        </w:rPr>
      </w:pPr>
      <w:bookmarkStart w:id="3455" w:name="_Toc497235559"/>
      <w:r>
        <w:rPr>
          <w:rFonts w:hint="eastAsia" w:ascii="宋体" w:hAnsi="宋体"/>
        </w:rPr>
        <w:t>（</w:t>
      </w:r>
      <w:r>
        <w:rPr>
          <w:rFonts w:ascii="宋体" w:hAnsi="宋体"/>
        </w:rPr>
        <w:t>8</w:t>
      </w:r>
      <w:r>
        <w:rPr>
          <w:rFonts w:hint="eastAsia" w:ascii="宋体" w:hAnsi="宋体"/>
        </w:rPr>
        <w:t>）安全设施、设备、器材和劳动保护用品的配置；</w:t>
      </w:r>
      <w:bookmarkEnd w:id="3455"/>
    </w:p>
    <w:p>
      <w:pPr>
        <w:spacing w:line="360" w:lineRule="auto"/>
        <w:ind w:firstLine="630" w:firstLineChars="300"/>
        <w:outlineLvl w:val="3"/>
        <w:rPr>
          <w:rFonts w:ascii="宋体"/>
        </w:rPr>
      </w:pPr>
      <w:bookmarkStart w:id="3456" w:name="_Toc497235560"/>
      <w:r>
        <w:rPr>
          <w:rFonts w:hint="eastAsia" w:ascii="宋体" w:hAnsi="宋体"/>
        </w:rPr>
        <w:t>（</w:t>
      </w:r>
      <w:r>
        <w:rPr>
          <w:rFonts w:ascii="宋体" w:hAnsi="宋体"/>
        </w:rPr>
        <w:t>9</w:t>
      </w:r>
      <w:r>
        <w:rPr>
          <w:rFonts w:hint="eastAsia" w:ascii="宋体" w:hAnsi="宋体"/>
        </w:rPr>
        <w:t>）其他要求</w:t>
      </w:r>
      <w:r>
        <w:rPr>
          <w:rFonts w:hint="eastAsia" w:ascii="黑体" w:hAnsi="黑体" w:eastAsia="黑体"/>
        </w:rPr>
        <w:t>见技术标准和要求专用部分。</w:t>
      </w:r>
      <w:bookmarkEnd w:id="3456"/>
    </w:p>
    <w:p>
      <w:pPr>
        <w:spacing w:line="360" w:lineRule="auto"/>
        <w:ind w:firstLine="630" w:firstLineChars="300"/>
        <w:outlineLvl w:val="3"/>
        <w:rPr>
          <w:rFonts w:ascii="宋体"/>
        </w:rPr>
      </w:pPr>
      <w:bookmarkStart w:id="3457" w:name="_Toc497235561"/>
      <w:r>
        <w:rPr>
          <w:rFonts w:hint="eastAsia" w:ascii="宋体" w:hAnsi="宋体"/>
        </w:rPr>
        <w:t>施工安全措施的项目和范围，应符合国家颁发的《安全技术措施计划的项目总名称表》及其附录</w:t>
      </w:r>
      <w:r>
        <w:rPr>
          <w:rFonts w:ascii="宋体" w:hAnsi="宋体"/>
        </w:rPr>
        <w:t>H</w:t>
      </w:r>
      <w:r>
        <w:rPr>
          <w:rFonts w:hint="eastAsia" w:ascii="宋体" w:hAnsi="宋体"/>
        </w:rPr>
        <w:t>、</w:t>
      </w:r>
      <w:r>
        <w:rPr>
          <w:rFonts w:ascii="宋体" w:hAnsi="宋体"/>
        </w:rPr>
        <w:t>I</w:t>
      </w:r>
      <w:r>
        <w:rPr>
          <w:rFonts w:hint="eastAsia" w:ascii="宋体" w:hAnsi="宋体"/>
        </w:rPr>
        <w:t>、</w:t>
      </w:r>
      <w:r>
        <w:rPr>
          <w:rFonts w:ascii="宋体" w:hAnsi="宋体"/>
        </w:rPr>
        <w:t>J</w:t>
      </w:r>
      <w:r>
        <w:rPr>
          <w:rFonts w:hint="eastAsia" w:ascii="宋体" w:hAnsi="宋体"/>
        </w:rPr>
        <w:t>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bookmarkEnd w:id="3457"/>
    </w:p>
    <w:p>
      <w:pPr>
        <w:spacing w:line="360" w:lineRule="auto"/>
        <w:ind w:firstLine="630" w:firstLineChars="300"/>
        <w:outlineLvl w:val="3"/>
        <w:rPr>
          <w:rFonts w:ascii="宋体"/>
        </w:rPr>
      </w:pPr>
      <w:bookmarkStart w:id="3458" w:name="_Toc497235562"/>
      <w:r>
        <w:rPr>
          <w:rFonts w:ascii="宋体" w:hAnsi="宋体"/>
        </w:rPr>
        <w:t xml:space="preserve">6.6.3  </w:t>
      </w:r>
      <w:r>
        <w:rPr>
          <w:rFonts w:hint="eastAsia" w:ascii="宋体" w:hAnsi="宋体"/>
        </w:rPr>
        <w:t>施工安全措施计划应当在合同条款第</w:t>
      </w:r>
      <w:r>
        <w:rPr>
          <w:rFonts w:ascii="宋体" w:hAnsi="宋体"/>
        </w:rPr>
        <w:t>9.2.1</w:t>
      </w:r>
      <w:r>
        <w:rPr>
          <w:rFonts w:hint="eastAsia" w:ascii="宋体" w:hAnsi="宋体"/>
        </w:rPr>
        <w:t>项约定的期限内报送监理人。承包人应当严格执行经监理人批准的施工安全措施计划，并及时补充、修订和完善施工安全措施计划，确保安全生产。</w:t>
      </w:r>
      <w:bookmarkEnd w:id="3458"/>
    </w:p>
    <w:p>
      <w:pPr>
        <w:pStyle w:val="155"/>
        <w:spacing w:before="120" w:after="120"/>
      </w:pPr>
      <w:bookmarkStart w:id="3459" w:name="_Toc483580918"/>
      <w:bookmarkStart w:id="3460" w:name="_Toc486580231"/>
      <w:bookmarkStart w:id="3461" w:name="_Toc489280041"/>
      <w:bookmarkStart w:id="3462" w:name="_Toc117350599"/>
      <w:r>
        <w:t xml:space="preserve">6.7  </w:t>
      </w:r>
      <w:r>
        <w:rPr>
          <w:rFonts w:hint="eastAsia"/>
        </w:rPr>
        <w:t>文明施工</w:t>
      </w:r>
      <w:bookmarkEnd w:id="3459"/>
      <w:bookmarkEnd w:id="3460"/>
      <w:bookmarkEnd w:id="3461"/>
      <w:bookmarkEnd w:id="3462"/>
    </w:p>
    <w:p>
      <w:pPr>
        <w:spacing w:line="360" w:lineRule="auto"/>
        <w:ind w:firstLine="630" w:firstLineChars="300"/>
        <w:outlineLvl w:val="3"/>
        <w:rPr>
          <w:rFonts w:ascii="宋体"/>
        </w:rPr>
      </w:pPr>
      <w:bookmarkStart w:id="3463" w:name="_Toc497235564"/>
      <w:r>
        <w:rPr>
          <w:rFonts w:ascii="宋体" w:hAnsi="宋体"/>
        </w:rPr>
        <w:t xml:space="preserve">6.7.1  </w:t>
      </w:r>
      <w:r>
        <w:rPr>
          <w:rFonts w:hint="eastAsia" w:ascii="宋体" w:hAnsi="宋体"/>
        </w:rPr>
        <w:t>承包人应遵守国家和工程所在地有关法规、规范、规程和标准的规定，履行文明施工义务，确保文明施工专项费用专款专用。</w:t>
      </w:r>
      <w:bookmarkEnd w:id="3463"/>
    </w:p>
    <w:p>
      <w:pPr>
        <w:spacing w:line="360" w:lineRule="auto"/>
        <w:ind w:firstLine="630" w:firstLineChars="300"/>
        <w:outlineLvl w:val="3"/>
        <w:rPr>
          <w:rFonts w:ascii="宋体"/>
        </w:rPr>
      </w:pPr>
      <w:bookmarkStart w:id="3464" w:name="_Toc497235565"/>
      <w:r>
        <w:rPr>
          <w:rFonts w:ascii="宋体" w:hAnsi="宋体"/>
        </w:rPr>
        <w:t xml:space="preserve">6.7.2  </w:t>
      </w:r>
      <w:r>
        <w:rPr>
          <w:rFonts w:hint="eastAsia" w:ascii="宋体" w:hAnsi="宋体"/>
        </w:rPr>
        <w:t>承包人应当规范现场施工秩序，实行标准化管理：</w:t>
      </w:r>
      <w:bookmarkEnd w:id="3464"/>
    </w:p>
    <w:p>
      <w:pPr>
        <w:spacing w:line="360" w:lineRule="auto"/>
        <w:ind w:firstLine="630" w:firstLineChars="300"/>
        <w:outlineLvl w:val="3"/>
        <w:rPr>
          <w:rFonts w:ascii="宋体"/>
        </w:rPr>
      </w:pPr>
      <w:bookmarkStart w:id="3465" w:name="_Toc497235566"/>
      <w:r>
        <w:rPr>
          <w:rFonts w:hint="eastAsia" w:ascii="宋体" w:hAnsi="宋体"/>
        </w:rPr>
        <w:t>（</w:t>
      </w:r>
      <w:r>
        <w:rPr>
          <w:rFonts w:ascii="宋体" w:hAnsi="宋体"/>
        </w:rPr>
        <w:t>1</w:t>
      </w:r>
      <w:r>
        <w:rPr>
          <w:rFonts w:hint="eastAsia" w:ascii="宋体" w:hAnsi="宋体"/>
        </w:rPr>
        <w:t>）承包人的施工场地（现场）必须干净整洁、做到无积水、无淤泥、无杂物，材料堆放整齐；</w:t>
      </w:r>
      <w:bookmarkEnd w:id="3465"/>
    </w:p>
    <w:p>
      <w:pPr>
        <w:spacing w:line="360" w:lineRule="auto"/>
        <w:ind w:firstLine="630" w:firstLineChars="300"/>
        <w:outlineLvl w:val="3"/>
        <w:rPr>
          <w:rFonts w:ascii="宋体"/>
        </w:rPr>
      </w:pPr>
      <w:bookmarkStart w:id="3466" w:name="_Toc497235567"/>
      <w:r>
        <w:rPr>
          <w:rFonts w:hint="eastAsia" w:ascii="宋体" w:hAnsi="宋体"/>
        </w:rPr>
        <w:t>（</w:t>
      </w:r>
      <w:r>
        <w:rPr>
          <w:rFonts w:ascii="宋体" w:hAnsi="宋体"/>
        </w:rPr>
        <w:t>2</w:t>
      </w:r>
      <w:r>
        <w:rPr>
          <w:rFonts w:hint="eastAsia" w:ascii="宋体" w:hAnsi="宋体"/>
        </w:rPr>
        <w:t>）承包人应当在建筑工地设置围挡，并采取覆盖、分段作业、择时施工、冲洗地面等有效防尘降尘措施；</w:t>
      </w:r>
      <w:bookmarkEnd w:id="3466"/>
    </w:p>
    <w:p>
      <w:pPr>
        <w:spacing w:line="360" w:lineRule="auto"/>
        <w:ind w:firstLine="630" w:firstLineChars="300"/>
        <w:outlineLvl w:val="3"/>
        <w:rPr>
          <w:rFonts w:ascii="宋体"/>
        </w:rPr>
      </w:pPr>
      <w:bookmarkStart w:id="3467" w:name="_Toc497235568"/>
      <w:r>
        <w:rPr>
          <w:rFonts w:hint="eastAsia" w:ascii="宋体" w:hAnsi="宋体"/>
        </w:rPr>
        <w:t>（</w:t>
      </w:r>
      <w:r>
        <w:rPr>
          <w:rFonts w:ascii="宋体" w:hAnsi="宋体"/>
        </w:rPr>
        <w:t>3</w:t>
      </w:r>
      <w:r>
        <w:rPr>
          <w:rFonts w:hint="eastAsia" w:ascii="宋体" w:hAnsi="宋体"/>
        </w:rPr>
        <w:t>）施工现场土方、砂石等应当集中堆放，裸露的场地和集中堆放的土方、砂石等应当采取覆盖、固化或绿化等措施；</w:t>
      </w:r>
      <w:bookmarkEnd w:id="3467"/>
    </w:p>
    <w:p>
      <w:pPr>
        <w:spacing w:line="360" w:lineRule="auto"/>
        <w:ind w:firstLine="630" w:firstLineChars="300"/>
        <w:outlineLvl w:val="3"/>
        <w:rPr>
          <w:rFonts w:ascii="宋体"/>
        </w:rPr>
      </w:pPr>
      <w:bookmarkStart w:id="3468" w:name="_Toc497235569"/>
      <w:r>
        <w:rPr>
          <w:rFonts w:hint="eastAsia" w:ascii="宋体" w:hAnsi="宋体"/>
        </w:rPr>
        <w:t>（</w:t>
      </w:r>
      <w:r>
        <w:rPr>
          <w:rFonts w:ascii="宋体" w:hAnsi="宋体"/>
        </w:rPr>
        <w:t>4</w:t>
      </w:r>
      <w:r>
        <w:rPr>
          <w:rFonts w:hint="eastAsia" w:ascii="宋体" w:hAnsi="宋体"/>
        </w:rPr>
        <w:t>）施工场地（现场）应进行硬化处理，定期定时洒水，做好防治扬尘和大气污染工作；</w:t>
      </w:r>
      <w:bookmarkEnd w:id="3468"/>
    </w:p>
    <w:p>
      <w:pPr>
        <w:spacing w:line="360" w:lineRule="auto"/>
        <w:ind w:firstLine="630" w:firstLineChars="300"/>
        <w:outlineLvl w:val="3"/>
        <w:rPr>
          <w:rFonts w:ascii="宋体"/>
        </w:rPr>
      </w:pPr>
      <w:bookmarkStart w:id="3469" w:name="_Toc497235570"/>
      <w:r>
        <w:rPr>
          <w:rFonts w:hint="eastAsia" w:ascii="宋体" w:hAnsi="宋体"/>
        </w:rPr>
        <w:t>（</w:t>
      </w:r>
      <w:r>
        <w:rPr>
          <w:rFonts w:ascii="宋体" w:hAnsi="宋体"/>
        </w:rPr>
        <w:t>5</w:t>
      </w:r>
      <w:r>
        <w:rPr>
          <w:rFonts w:hint="eastAsia" w:ascii="宋体" w:hAnsi="宋体"/>
        </w:rPr>
        <w:t>）严格遵守“工完、料尽、场地净”的原则，不留垃圾、不留剩余施工材料和施工机具，各种设备运转正常；</w:t>
      </w:r>
      <w:bookmarkEnd w:id="3469"/>
    </w:p>
    <w:p>
      <w:pPr>
        <w:spacing w:line="360" w:lineRule="auto"/>
        <w:ind w:firstLine="630" w:firstLineChars="300"/>
        <w:outlineLvl w:val="3"/>
        <w:rPr>
          <w:rFonts w:ascii="宋体"/>
        </w:rPr>
      </w:pPr>
      <w:bookmarkStart w:id="3470" w:name="_Toc497235571"/>
      <w:r>
        <w:rPr>
          <w:rFonts w:hint="eastAsia" w:ascii="宋体" w:hAnsi="宋体"/>
        </w:rPr>
        <w:t>（</w:t>
      </w:r>
      <w:r>
        <w:rPr>
          <w:rFonts w:ascii="宋体" w:hAnsi="宋体"/>
        </w:rPr>
        <w:t>6</w:t>
      </w:r>
      <w:r>
        <w:rPr>
          <w:rFonts w:hint="eastAsia" w:ascii="宋体" w:hAnsi="宋体"/>
        </w:rPr>
        <w:t>）承包人修建的施工临时设施应符合监理人批准的施工规划要求，并应满足本章规定的各项安全要求；</w:t>
      </w:r>
      <w:bookmarkEnd w:id="3470"/>
    </w:p>
    <w:p>
      <w:pPr>
        <w:spacing w:line="360" w:lineRule="auto"/>
        <w:ind w:firstLine="630" w:firstLineChars="300"/>
        <w:outlineLvl w:val="3"/>
        <w:rPr>
          <w:rFonts w:ascii="宋体"/>
        </w:rPr>
      </w:pPr>
      <w:bookmarkStart w:id="3471" w:name="_Toc497235572"/>
      <w:r>
        <w:rPr>
          <w:rFonts w:hint="eastAsia" w:ascii="宋体" w:hAnsi="宋体"/>
        </w:rPr>
        <w:t>（</w:t>
      </w:r>
      <w:r>
        <w:rPr>
          <w:rFonts w:ascii="宋体" w:hAnsi="宋体"/>
        </w:rPr>
        <w:t>7</w:t>
      </w:r>
      <w:r>
        <w:rPr>
          <w:rFonts w:hint="eastAsia" w:ascii="宋体" w:hAnsi="宋体"/>
        </w:rPr>
        <w:t>）监理人可要求承包人在施工场地（现场）设置各级承包人的安全文明施工责任牌等文明施工警示牌；</w:t>
      </w:r>
      <w:bookmarkEnd w:id="3471"/>
    </w:p>
    <w:p>
      <w:pPr>
        <w:spacing w:line="360" w:lineRule="auto"/>
        <w:ind w:firstLine="630" w:firstLineChars="300"/>
        <w:outlineLvl w:val="3"/>
        <w:rPr>
          <w:rFonts w:ascii="宋体"/>
        </w:rPr>
      </w:pPr>
      <w:bookmarkStart w:id="3472" w:name="_Toc497235573"/>
      <w:r>
        <w:rPr>
          <w:rFonts w:hint="eastAsia" w:ascii="宋体" w:hAnsi="宋体"/>
        </w:rPr>
        <w:t>（</w:t>
      </w:r>
      <w:r>
        <w:rPr>
          <w:rFonts w:ascii="宋体" w:hAnsi="宋体"/>
        </w:rPr>
        <w:t>8</w:t>
      </w:r>
      <w:r>
        <w:rPr>
          <w:rFonts w:hint="eastAsia" w:ascii="宋体" w:hAnsi="宋体"/>
        </w:rPr>
        <w:t>）材料进入现场应按指定位置堆放整齐，不得影响现场施工和堵塞施工、消防通道。材料堆放场地应有专职的管理人员；</w:t>
      </w:r>
      <w:bookmarkEnd w:id="3472"/>
    </w:p>
    <w:p>
      <w:pPr>
        <w:spacing w:line="360" w:lineRule="auto"/>
        <w:ind w:firstLine="630" w:firstLineChars="300"/>
        <w:outlineLvl w:val="3"/>
        <w:rPr>
          <w:rFonts w:ascii="宋体"/>
        </w:rPr>
      </w:pPr>
      <w:bookmarkStart w:id="3473" w:name="_Toc497235574"/>
      <w:r>
        <w:rPr>
          <w:rFonts w:hint="eastAsia" w:ascii="宋体" w:hAnsi="宋体"/>
        </w:rPr>
        <w:t>（</w:t>
      </w:r>
      <w:r>
        <w:rPr>
          <w:rFonts w:ascii="宋体" w:hAnsi="宋体"/>
        </w:rPr>
        <w:t>9</w:t>
      </w:r>
      <w:r>
        <w:rPr>
          <w:rFonts w:hint="eastAsia" w:ascii="宋体" w:hAnsi="宋体"/>
        </w:rPr>
        <w:t>）施工和安装用的各种扣件、紧固件、绳索具、小型配件、镙钉等应在专设的仓库内装箱放置；</w:t>
      </w:r>
      <w:bookmarkEnd w:id="3473"/>
    </w:p>
    <w:p>
      <w:pPr>
        <w:spacing w:line="360" w:lineRule="auto"/>
        <w:ind w:firstLine="630" w:firstLineChars="300"/>
        <w:outlineLvl w:val="3"/>
        <w:rPr>
          <w:rFonts w:ascii="宋体"/>
        </w:rPr>
      </w:pPr>
      <w:bookmarkStart w:id="3474" w:name="_Toc497235575"/>
      <w:r>
        <w:rPr>
          <w:rFonts w:hint="eastAsia" w:ascii="宋体" w:hAnsi="宋体"/>
        </w:rPr>
        <w:t>（</w:t>
      </w:r>
      <w:r>
        <w:rPr>
          <w:rFonts w:ascii="宋体" w:hAnsi="宋体"/>
        </w:rPr>
        <w:t>10</w:t>
      </w:r>
      <w:r>
        <w:rPr>
          <w:rFonts w:hint="eastAsia" w:ascii="宋体" w:hAnsi="宋体"/>
        </w:rPr>
        <w:t>）现场风、水管及照明电线的布置应安全、合理、规范、有序，做到整齐美观。不得随意架设和造成隐患或影响施工；</w:t>
      </w:r>
      <w:bookmarkEnd w:id="3474"/>
    </w:p>
    <w:p>
      <w:pPr>
        <w:spacing w:line="360" w:lineRule="auto"/>
        <w:ind w:firstLine="630" w:firstLineChars="300"/>
        <w:outlineLvl w:val="3"/>
        <w:rPr>
          <w:rFonts w:ascii="宋体"/>
        </w:rPr>
      </w:pPr>
      <w:bookmarkStart w:id="3475" w:name="_Toc497235576"/>
      <w:r>
        <w:rPr>
          <w:rFonts w:hint="eastAsia" w:ascii="宋体" w:hAnsi="宋体"/>
        </w:rPr>
        <w:t>（</w:t>
      </w:r>
      <w:r>
        <w:rPr>
          <w:rFonts w:ascii="宋体" w:hAnsi="宋体"/>
        </w:rPr>
        <w:t>11</w:t>
      </w:r>
      <w:r>
        <w:rPr>
          <w:rFonts w:hint="eastAsia" w:ascii="宋体" w:hAnsi="宋体"/>
        </w:rPr>
        <w:t>）建筑拆除工程施工时应采取隔离、洒水等有效的降噪、降尘措施，并及时清理废弃物；</w:t>
      </w:r>
      <w:bookmarkEnd w:id="3475"/>
    </w:p>
    <w:p>
      <w:pPr>
        <w:spacing w:line="360" w:lineRule="auto"/>
        <w:ind w:firstLine="630" w:firstLineChars="300"/>
        <w:outlineLvl w:val="3"/>
        <w:rPr>
          <w:rFonts w:ascii="宋体"/>
        </w:rPr>
      </w:pPr>
      <w:bookmarkStart w:id="3476" w:name="_Toc497235577"/>
      <w:r>
        <w:rPr>
          <w:rFonts w:hint="eastAsia" w:ascii="宋体" w:hAnsi="宋体"/>
        </w:rPr>
        <w:t>（</w:t>
      </w:r>
      <w:r>
        <w:rPr>
          <w:rFonts w:ascii="宋体" w:hAnsi="宋体"/>
        </w:rPr>
        <w:t>12</w:t>
      </w:r>
      <w:r>
        <w:rPr>
          <w:rFonts w:hint="eastAsia" w:ascii="宋体" w:hAnsi="宋体"/>
        </w:rPr>
        <w:t>）当道路施工进行铣刨、切割等作业时，应采取有效的防扬尘措施。灰土和无机料应采用预拌进场，碾压过程中应洒水降尘。</w:t>
      </w:r>
      <w:bookmarkEnd w:id="3476"/>
    </w:p>
    <w:p>
      <w:pPr>
        <w:spacing w:line="360" w:lineRule="auto"/>
        <w:ind w:firstLine="630" w:firstLineChars="300"/>
        <w:outlineLvl w:val="3"/>
        <w:rPr>
          <w:rFonts w:ascii="宋体"/>
        </w:rPr>
      </w:pPr>
      <w:bookmarkStart w:id="3477" w:name="_Toc497235578"/>
      <w:r>
        <w:rPr>
          <w:rFonts w:ascii="宋体" w:hAnsi="宋体"/>
        </w:rPr>
        <w:t xml:space="preserve">6.7.3  </w:t>
      </w:r>
      <w:r>
        <w:rPr>
          <w:rFonts w:hint="eastAsia" w:ascii="宋体" w:hAnsi="宋体"/>
        </w:rPr>
        <w:t>承包人应为其雇佣的施工工人建立并维护相应的生活宿舍、食堂、浴室、厕所和文化活动室等，其标准应满足政府有关机构的生活标准和卫生标准等的要求。</w:t>
      </w:r>
      <w:bookmarkEnd w:id="3477"/>
    </w:p>
    <w:p>
      <w:pPr>
        <w:spacing w:line="360" w:lineRule="auto"/>
        <w:ind w:firstLine="630" w:firstLineChars="300"/>
        <w:outlineLvl w:val="3"/>
        <w:rPr>
          <w:rFonts w:ascii="宋体"/>
        </w:rPr>
      </w:pPr>
      <w:bookmarkStart w:id="3478" w:name="_Toc497235579"/>
      <w:r>
        <w:rPr>
          <w:rFonts w:ascii="宋体" w:hAnsi="宋体"/>
        </w:rPr>
        <w:t xml:space="preserve">6.7.4  </w:t>
      </w:r>
      <w:r>
        <w:rPr>
          <w:rFonts w:hint="eastAsia" w:ascii="宋体" w:hAnsi="宋体"/>
        </w:rPr>
        <w:t>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bookmarkEnd w:id="3478"/>
    </w:p>
    <w:p>
      <w:pPr>
        <w:spacing w:line="360" w:lineRule="auto"/>
        <w:ind w:firstLine="630" w:firstLineChars="300"/>
        <w:outlineLvl w:val="3"/>
        <w:rPr>
          <w:rFonts w:ascii="宋体"/>
        </w:rPr>
      </w:pPr>
      <w:bookmarkStart w:id="3479" w:name="_Toc497235580"/>
      <w:r>
        <w:rPr>
          <w:rFonts w:ascii="宋体" w:hAnsi="宋体"/>
        </w:rPr>
        <w:t xml:space="preserve">6.7.5  </w:t>
      </w:r>
      <w:r>
        <w:rPr>
          <w:rFonts w:hint="eastAsia" w:ascii="宋体" w:hAnsi="宋体"/>
        </w:rPr>
        <w:t>在工程施工期间，承包人应始终避免现场出现不必要的障碍物，妥当存放并处置施工设备和多余的材料，及时从现场清除运走任何废料、垃圾或不再需要的临时工程和设施。</w:t>
      </w:r>
      <w:bookmarkEnd w:id="3479"/>
    </w:p>
    <w:p>
      <w:pPr>
        <w:spacing w:line="360" w:lineRule="auto"/>
        <w:ind w:firstLine="630" w:firstLineChars="300"/>
        <w:outlineLvl w:val="3"/>
        <w:rPr>
          <w:rFonts w:ascii="宋体"/>
        </w:rPr>
      </w:pPr>
      <w:bookmarkStart w:id="3480" w:name="_Toc497235581"/>
      <w:r>
        <w:rPr>
          <w:rFonts w:ascii="宋体" w:hAnsi="宋体"/>
        </w:rPr>
        <w:t xml:space="preserve">6.7.6  </w:t>
      </w:r>
      <w:r>
        <w:rPr>
          <w:rFonts w:hint="eastAsia" w:ascii="宋体" w:hAnsi="宋体"/>
        </w:rPr>
        <w:t>承包人应为现场的工人和其他所有工作人员提供符合卫生要求的厕所，厕所应贴有磁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bookmarkEnd w:id="3480"/>
    </w:p>
    <w:p>
      <w:pPr>
        <w:spacing w:line="360" w:lineRule="auto"/>
        <w:ind w:firstLine="630" w:firstLineChars="300"/>
        <w:outlineLvl w:val="3"/>
        <w:rPr>
          <w:rFonts w:ascii="宋体"/>
        </w:rPr>
      </w:pPr>
      <w:bookmarkStart w:id="3481" w:name="_Toc497235582"/>
      <w:r>
        <w:rPr>
          <w:rFonts w:ascii="宋体" w:hAnsi="宋体"/>
        </w:rPr>
        <w:t xml:space="preserve">6.7.7  </w:t>
      </w:r>
      <w:r>
        <w:rPr>
          <w:rFonts w:hint="eastAsia" w:ascii="宋体" w:hAnsi="宋体"/>
        </w:rPr>
        <w:t>承包人应在现场设立固定的建筑垃圾临时存放点</w:t>
      </w:r>
      <w:r>
        <w:rPr>
          <w:rFonts w:ascii="宋体"/>
        </w:rPr>
        <w:t>,</w:t>
      </w:r>
      <w:r>
        <w:rPr>
          <w:rFonts w:hint="eastAsia" w:ascii="宋体" w:hAnsi="宋体"/>
        </w:rPr>
        <w:t>并在各楼层或区域设立必要的垃圾箱；施工现场应当建立封闭式垃圾站。建筑物内垃圾应采用容器或搭设专用封闭垃圾道的方式清运，严禁凌空抛掷；所有建筑垃圾必须在当天清除出现场，并按有关行政管理部门的规定，运送到指定的垃圾消纳场。承包人还应加强建筑垃圾管理工作，严禁焚烧各类废弃物；严禁道路遗撒和乱倒乱卸等运输违法违规行为发生，建筑垃圾的运输必须采用封闭式运输车辆或采取覆盖措施；最大限度减少污染环境。</w:t>
      </w:r>
      <w:bookmarkEnd w:id="3481"/>
    </w:p>
    <w:p>
      <w:pPr>
        <w:spacing w:line="360" w:lineRule="auto"/>
        <w:ind w:firstLine="630" w:firstLineChars="300"/>
        <w:outlineLvl w:val="3"/>
        <w:rPr>
          <w:rFonts w:ascii="宋体"/>
        </w:rPr>
      </w:pPr>
      <w:bookmarkStart w:id="3482" w:name="_Toc497235583"/>
      <w:r>
        <w:rPr>
          <w:rFonts w:ascii="宋体" w:hAnsi="宋体"/>
        </w:rPr>
        <w:t xml:space="preserve">6.7.8  </w:t>
      </w:r>
      <w:r>
        <w:rPr>
          <w:rFonts w:hint="eastAsia" w:ascii="宋体" w:hAnsi="宋体"/>
        </w:rPr>
        <w:t>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浇注、材料运输、材料装卸、现场清理等工作中应采取一切必要的措施防止影响公共交通。</w:t>
      </w:r>
      <w:bookmarkEnd w:id="3482"/>
    </w:p>
    <w:p>
      <w:pPr>
        <w:spacing w:line="360" w:lineRule="auto"/>
        <w:ind w:firstLine="630" w:firstLineChars="300"/>
        <w:outlineLvl w:val="3"/>
        <w:rPr>
          <w:rFonts w:ascii="宋体"/>
        </w:rPr>
      </w:pPr>
      <w:bookmarkStart w:id="3483" w:name="_Toc497235584"/>
      <w:r>
        <w:rPr>
          <w:rFonts w:ascii="宋体" w:hAnsi="宋体"/>
        </w:rPr>
        <w:t xml:space="preserve">6.7.9  </w:t>
      </w:r>
      <w:r>
        <w:rPr>
          <w:rFonts w:hint="eastAsia" w:ascii="宋体" w:hAnsi="宋体"/>
        </w:rPr>
        <w:t>承包人采用现场搅拌混凝土或砂浆的场所应采取封闭、降尘、降噪措施。水泥和其他易飞扬的细颗粒建筑材料应密闭存放或采取覆盖等措施。</w:t>
      </w:r>
      <w:bookmarkEnd w:id="3483"/>
    </w:p>
    <w:p>
      <w:pPr>
        <w:spacing w:line="360" w:lineRule="auto"/>
        <w:ind w:firstLine="630" w:firstLineChars="300"/>
        <w:outlineLvl w:val="3"/>
        <w:rPr>
          <w:rFonts w:ascii="宋体"/>
        </w:rPr>
      </w:pPr>
      <w:bookmarkStart w:id="3484" w:name="_Toc497235585"/>
      <w:r>
        <w:rPr>
          <w:rFonts w:ascii="宋体" w:hAnsi="宋体"/>
        </w:rPr>
        <w:t xml:space="preserve">6.7.10  </w:t>
      </w:r>
      <w:r>
        <w:rPr>
          <w:rFonts w:hint="eastAsia" w:ascii="宋体" w:hAnsi="宋体"/>
        </w:rPr>
        <w:t>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w:t>
      </w:r>
      <w:r>
        <w:rPr>
          <w:rFonts w:ascii="宋体" w:hAnsi="宋体"/>
        </w:rPr>
        <w:t>28</w:t>
      </w:r>
      <w:r>
        <w:rPr>
          <w:rFonts w:hint="eastAsia" w:ascii="宋体" w:hAnsi="宋体"/>
        </w:rPr>
        <w:t>天报监理人审批。</w:t>
      </w:r>
      <w:bookmarkEnd w:id="3484"/>
    </w:p>
    <w:p>
      <w:pPr>
        <w:spacing w:line="360" w:lineRule="auto"/>
        <w:ind w:firstLine="630" w:firstLineChars="300"/>
        <w:outlineLvl w:val="3"/>
        <w:rPr>
          <w:rFonts w:ascii="宋体"/>
        </w:rPr>
      </w:pPr>
      <w:bookmarkStart w:id="3485" w:name="_Toc497235586"/>
      <w:r>
        <w:rPr>
          <w:rFonts w:ascii="宋体" w:hAnsi="宋体"/>
        </w:rPr>
        <w:t xml:space="preserve">6.7.11  </w:t>
      </w:r>
      <w:r>
        <w:rPr>
          <w:rFonts w:hint="eastAsia" w:ascii="宋体" w:hAnsi="宋体"/>
        </w:rPr>
        <w:t>文明施工方面的其他要求</w:t>
      </w:r>
      <w:r>
        <w:rPr>
          <w:rFonts w:hint="eastAsia" w:ascii="黑体" w:hAnsi="黑体" w:eastAsia="黑体"/>
        </w:rPr>
        <w:t>见技术标准和要求专用部分。</w:t>
      </w:r>
      <w:bookmarkEnd w:id="3485"/>
    </w:p>
    <w:p>
      <w:pPr>
        <w:pStyle w:val="155"/>
        <w:spacing w:before="120" w:after="120"/>
      </w:pPr>
      <w:bookmarkStart w:id="3486" w:name="_Toc483580919"/>
      <w:bookmarkStart w:id="3487" w:name="_Toc489280042"/>
      <w:bookmarkStart w:id="3488" w:name="_Toc486580232"/>
      <w:bookmarkStart w:id="3489" w:name="_Toc117350600"/>
      <w:r>
        <w:t xml:space="preserve">6.8  </w:t>
      </w:r>
      <w:r>
        <w:rPr>
          <w:rFonts w:hint="eastAsia"/>
        </w:rPr>
        <w:t>环境保护</w:t>
      </w:r>
      <w:bookmarkEnd w:id="3486"/>
      <w:bookmarkEnd w:id="3487"/>
      <w:bookmarkEnd w:id="3488"/>
      <w:bookmarkEnd w:id="3489"/>
    </w:p>
    <w:p>
      <w:pPr>
        <w:spacing w:line="360" w:lineRule="auto"/>
        <w:ind w:firstLine="630" w:firstLineChars="300"/>
        <w:outlineLvl w:val="3"/>
        <w:rPr>
          <w:rFonts w:ascii="宋体"/>
        </w:rPr>
      </w:pPr>
      <w:bookmarkStart w:id="3490" w:name="_Toc497235588"/>
      <w:r>
        <w:rPr>
          <w:rFonts w:ascii="宋体" w:hAnsi="宋体"/>
        </w:rPr>
        <w:t xml:space="preserve">6.8.1  </w:t>
      </w:r>
      <w:r>
        <w:rPr>
          <w:rFonts w:hint="eastAsia" w:ascii="宋体" w:hAnsi="宋体"/>
        </w:rPr>
        <w:t>在工程施工、完工及修补任何缺陷的过程中，承包人应当始终遵守国家和工程所在地有关扬尘治理、建筑垃圾堆放、清运和消纳等环境保护、水土保护和污染防治的法律、法规、规章、规范、标准和规程等，按照合同条款第</w:t>
      </w:r>
      <w:r>
        <w:rPr>
          <w:rFonts w:ascii="宋体" w:hAnsi="宋体"/>
        </w:rPr>
        <w:t>4.1.6</w:t>
      </w:r>
      <w:r>
        <w:rPr>
          <w:rFonts w:hint="eastAsia" w:ascii="宋体" w:hAnsi="宋体"/>
        </w:rPr>
        <w:t>项和第</w:t>
      </w:r>
      <w:r>
        <w:rPr>
          <w:rFonts w:ascii="宋体" w:hAnsi="宋体"/>
        </w:rPr>
        <w:t>9.4</w:t>
      </w:r>
      <w:r>
        <w:rPr>
          <w:rFonts w:hint="eastAsia" w:ascii="宋体" w:hAnsi="宋体"/>
        </w:rPr>
        <w:t>款的约定履行其环境与生态保护职责。</w:t>
      </w:r>
      <w:bookmarkEnd w:id="3490"/>
    </w:p>
    <w:p>
      <w:pPr>
        <w:spacing w:line="360" w:lineRule="auto"/>
        <w:ind w:firstLine="630" w:firstLineChars="300"/>
        <w:outlineLvl w:val="3"/>
        <w:rPr>
          <w:rFonts w:ascii="宋体"/>
        </w:rPr>
      </w:pPr>
      <w:bookmarkStart w:id="3491" w:name="_Toc497235589"/>
      <w:r>
        <w:rPr>
          <w:rFonts w:ascii="宋体" w:hAnsi="宋体"/>
        </w:rPr>
        <w:t xml:space="preserve">6.8.2  </w:t>
      </w:r>
      <w:r>
        <w:rPr>
          <w:rFonts w:hint="eastAsia" w:ascii="宋体" w:hAnsi="宋体"/>
        </w:rPr>
        <w:t>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bookmarkEnd w:id="3491"/>
    </w:p>
    <w:p>
      <w:pPr>
        <w:spacing w:line="360" w:lineRule="auto"/>
        <w:ind w:firstLine="618" w:firstLineChars="300"/>
        <w:outlineLvl w:val="3"/>
        <w:rPr>
          <w:rFonts w:ascii="宋体"/>
          <w:spacing w:val="-2"/>
        </w:rPr>
      </w:pPr>
      <w:bookmarkStart w:id="3492" w:name="_Toc497235590"/>
      <w:r>
        <w:rPr>
          <w:rFonts w:ascii="宋体" w:hAnsi="宋体"/>
          <w:spacing w:val="-2"/>
        </w:rPr>
        <w:t xml:space="preserve">6.8.3  </w:t>
      </w:r>
      <w:r>
        <w:rPr>
          <w:rFonts w:hint="eastAsia" w:ascii="宋体" w:hAnsi="宋体"/>
          <w:spacing w:val="-2"/>
        </w:rPr>
        <w:t>承包人制订施工方案和组织措施时应当同步考虑环境和资源保护，包括水土资源保护、噪声、振动和照明污染防治、固体废弃物处理、污水和废气处理、粉尘和扬尘治理、道路污染防治、卫生防疫、禁止有害材料、节能减排以及不可再生资源的循环使用等因素。</w:t>
      </w:r>
      <w:bookmarkEnd w:id="3492"/>
    </w:p>
    <w:p>
      <w:pPr>
        <w:spacing w:line="360" w:lineRule="auto"/>
        <w:ind w:firstLine="630" w:firstLineChars="300"/>
        <w:outlineLvl w:val="3"/>
        <w:rPr>
          <w:rFonts w:ascii="宋体"/>
        </w:rPr>
      </w:pPr>
      <w:bookmarkStart w:id="3493" w:name="_Toc497235591"/>
      <w:r>
        <w:rPr>
          <w:rFonts w:ascii="宋体" w:hAnsi="宋体"/>
        </w:rPr>
        <w:t xml:space="preserve">6.8.4  </w:t>
      </w:r>
      <w:r>
        <w:rPr>
          <w:rFonts w:hint="eastAsia" w:ascii="宋体" w:hAnsi="宋体"/>
        </w:rPr>
        <w:t>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其有关规定。承包人还应设置完善的排水系统，保持施工场地（现场）始终处于良好的排水状态，防止降雨径流对施工场地（现场）的冲刷。</w:t>
      </w:r>
      <w:bookmarkEnd w:id="3493"/>
    </w:p>
    <w:p>
      <w:pPr>
        <w:spacing w:line="360" w:lineRule="auto"/>
        <w:ind w:firstLine="630" w:firstLineChars="300"/>
        <w:outlineLvl w:val="3"/>
        <w:rPr>
          <w:rFonts w:ascii="宋体"/>
        </w:rPr>
      </w:pPr>
      <w:bookmarkStart w:id="3494" w:name="_Toc497235592"/>
      <w:r>
        <w:rPr>
          <w:rFonts w:ascii="宋体" w:hAnsi="宋体"/>
        </w:rPr>
        <w:t xml:space="preserve">6.8.5  </w:t>
      </w:r>
      <w:r>
        <w:rPr>
          <w:rFonts w:hint="eastAsia" w:ascii="宋体" w:hAnsi="宋体"/>
        </w:rPr>
        <w:t>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bookmarkEnd w:id="3494"/>
    </w:p>
    <w:p>
      <w:pPr>
        <w:spacing w:line="360" w:lineRule="auto"/>
        <w:ind w:firstLine="630" w:firstLineChars="300"/>
        <w:outlineLvl w:val="3"/>
        <w:rPr>
          <w:rFonts w:ascii="宋体"/>
        </w:rPr>
      </w:pPr>
      <w:bookmarkStart w:id="3495" w:name="_Toc497235593"/>
      <w:r>
        <w:rPr>
          <w:rFonts w:ascii="宋体" w:hAnsi="宋体"/>
        </w:rPr>
        <w:t xml:space="preserve">6.8.6  </w:t>
      </w:r>
      <w:r>
        <w:rPr>
          <w:rFonts w:hint="eastAsia" w:ascii="宋体" w:hAnsi="宋体"/>
        </w:rPr>
        <w:t>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w:t>
      </w:r>
      <w:bookmarkEnd w:id="3495"/>
    </w:p>
    <w:p>
      <w:pPr>
        <w:spacing w:line="360" w:lineRule="auto"/>
        <w:ind w:firstLine="630" w:firstLineChars="300"/>
        <w:outlineLvl w:val="3"/>
        <w:rPr>
          <w:rFonts w:ascii="宋体"/>
        </w:rPr>
      </w:pPr>
      <w:bookmarkStart w:id="3496" w:name="_Toc497235594"/>
      <w:r>
        <w:rPr>
          <w:rFonts w:ascii="宋体" w:hAnsi="宋体"/>
        </w:rPr>
        <w:t xml:space="preserve">6.8.7  </w:t>
      </w:r>
      <w:r>
        <w:rPr>
          <w:rFonts w:hint="eastAsia" w:ascii="宋体" w:hAnsi="宋体"/>
        </w:rPr>
        <w:t>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bookmarkEnd w:id="3496"/>
    </w:p>
    <w:p>
      <w:pPr>
        <w:spacing w:line="360" w:lineRule="auto"/>
        <w:ind w:firstLine="630" w:firstLineChars="300"/>
        <w:outlineLvl w:val="3"/>
        <w:rPr>
          <w:rFonts w:ascii="宋体"/>
        </w:rPr>
      </w:pPr>
      <w:bookmarkStart w:id="3497" w:name="_Toc497235595"/>
      <w:r>
        <w:rPr>
          <w:rFonts w:ascii="宋体" w:hAnsi="宋体"/>
        </w:rPr>
        <w:t xml:space="preserve">6.8.8  </w:t>
      </w:r>
      <w:r>
        <w:rPr>
          <w:rFonts w:hint="eastAsia" w:ascii="宋体" w:hAnsi="宋体"/>
        </w:rPr>
        <w:t>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现场）周边生产和生活的影响，并满足国家和地方政府有关规定的要求。</w:t>
      </w:r>
      <w:bookmarkEnd w:id="3497"/>
    </w:p>
    <w:p>
      <w:pPr>
        <w:spacing w:line="360" w:lineRule="auto"/>
        <w:ind w:firstLine="630" w:firstLineChars="300"/>
        <w:outlineLvl w:val="3"/>
        <w:rPr>
          <w:rFonts w:ascii="宋体"/>
          <w:szCs w:val="21"/>
        </w:rPr>
      </w:pPr>
      <w:bookmarkStart w:id="3498" w:name="_Toc497235596"/>
      <w:r>
        <w:rPr>
          <w:rFonts w:ascii="宋体" w:hAnsi="宋体"/>
        </w:rPr>
        <w:t xml:space="preserve">6.8.9  </w:t>
      </w:r>
      <w:r>
        <w:rPr>
          <w:rFonts w:hint="eastAsia" w:ascii="宋体" w:hAnsi="宋体"/>
        </w:rPr>
        <w:t>承包人</w:t>
      </w:r>
      <w:r>
        <w:rPr>
          <w:rFonts w:hint="eastAsia" w:ascii="宋体" w:hAnsi="宋体"/>
          <w:szCs w:val="21"/>
        </w:rPr>
        <w:t>保证使用已在本市进行信息编码登记符合排放标准的非道路移动机械</w:t>
      </w:r>
      <w:bookmarkStart w:id="3499" w:name="_Hlk114657484"/>
      <w:r>
        <w:rPr>
          <w:rFonts w:hint="eastAsia" w:ascii="宋体" w:hAnsi="宋体"/>
          <w:kern w:val="0"/>
          <w:szCs w:val="21"/>
        </w:rPr>
        <w:t>，并确保使用符合标准的燃料</w:t>
      </w:r>
      <w:bookmarkEnd w:id="3499"/>
      <w:r>
        <w:rPr>
          <w:rFonts w:hint="eastAsia" w:ascii="宋体" w:hAnsi="宋体"/>
          <w:szCs w:val="21"/>
        </w:rPr>
        <w:t>。严禁使用高排放非道路移动机械，并做好行业挥发性有机物治理</w:t>
      </w:r>
      <w:r>
        <w:rPr>
          <w:rFonts w:hint="eastAsia" w:ascii="宋体" w:hAnsi="宋体"/>
          <w:kern w:val="0"/>
          <w:szCs w:val="21"/>
        </w:rPr>
        <w:t>（如</w:t>
      </w:r>
      <w:r>
        <w:rPr>
          <w:rFonts w:hint="eastAsia" w:ascii="宋体" w:hAnsi="宋体"/>
          <w:kern w:val="0"/>
        </w:rPr>
        <w:t>建筑外墙涂装、钢结构等鼓励使用水性漆替代油性漆</w:t>
      </w:r>
      <w:r>
        <w:rPr>
          <w:rFonts w:hint="eastAsia" w:ascii="宋体" w:hAnsi="宋体"/>
          <w:kern w:val="0"/>
          <w:szCs w:val="21"/>
        </w:rPr>
        <w:t>）</w:t>
      </w:r>
      <w:r>
        <w:rPr>
          <w:rFonts w:hint="eastAsia" w:ascii="宋体" w:hAnsi="宋体"/>
          <w:szCs w:val="21"/>
        </w:rPr>
        <w:t>。</w:t>
      </w:r>
      <w:bookmarkEnd w:id="3498"/>
    </w:p>
    <w:p>
      <w:pPr>
        <w:spacing w:line="360" w:lineRule="auto"/>
        <w:ind w:firstLine="630" w:firstLineChars="300"/>
        <w:outlineLvl w:val="3"/>
        <w:rPr>
          <w:rFonts w:ascii="宋体"/>
        </w:rPr>
      </w:pPr>
      <w:bookmarkStart w:id="3500" w:name="_Toc497235597"/>
      <w:r>
        <w:rPr>
          <w:rFonts w:ascii="宋体" w:hAnsi="宋体"/>
        </w:rPr>
        <w:t xml:space="preserve">6.8.10  </w:t>
      </w:r>
      <w:r>
        <w:rPr>
          <w:rFonts w:hint="eastAsia" w:ascii="宋体" w:hAnsi="宋体"/>
        </w:rPr>
        <w:t>环境保护方面的其他要求</w:t>
      </w:r>
      <w:r>
        <w:rPr>
          <w:rFonts w:hint="eastAsia" w:ascii="黑体" w:hAnsi="黑体" w:eastAsia="黑体"/>
        </w:rPr>
        <w:t>见技术标准和要求专用部分。</w:t>
      </w:r>
      <w:bookmarkEnd w:id="3500"/>
    </w:p>
    <w:p>
      <w:pPr>
        <w:pStyle w:val="155"/>
        <w:spacing w:before="120" w:after="120"/>
      </w:pPr>
      <w:bookmarkStart w:id="3501" w:name="_Toc483580920"/>
      <w:bookmarkStart w:id="3502" w:name="_Toc486580233"/>
      <w:bookmarkStart w:id="3503" w:name="_Toc489280043"/>
      <w:bookmarkStart w:id="3504" w:name="_Toc117350601"/>
      <w:r>
        <w:t xml:space="preserve">6.9  </w:t>
      </w:r>
      <w:r>
        <w:rPr>
          <w:rFonts w:hint="eastAsia"/>
        </w:rPr>
        <w:t>施工环保措施计划</w:t>
      </w:r>
      <w:bookmarkEnd w:id="3501"/>
      <w:bookmarkEnd w:id="3502"/>
      <w:bookmarkEnd w:id="3503"/>
      <w:bookmarkEnd w:id="3504"/>
    </w:p>
    <w:p>
      <w:pPr>
        <w:spacing w:line="360" w:lineRule="auto"/>
        <w:ind w:firstLine="630" w:firstLineChars="300"/>
        <w:outlineLvl w:val="3"/>
        <w:rPr>
          <w:rFonts w:ascii="宋体"/>
        </w:rPr>
      </w:pPr>
      <w:bookmarkStart w:id="3505" w:name="_Toc497235599"/>
      <w:r>
        <w:rPr>
          <w:rFonts w:ascii="宋体" w:hAnsi="宋体"/>
        </w:rPr>
        <w:t xml:space="preserve">6.9.1  </w:t>
      </w:r>
      <w:r>
        <w:rPr>
          <w:rFonts w:hint="eastAsia" w:ascii="宋体" w:hAnsi="宋体"/>
        </w:rPr>
        <w:t>合同条款第</w:t>
      </w:r>
      <w:r>
        <w:rPr>
          <w:rFonts w:ascii="宋体" w:hAnsi="宋体"/>
        </w:rPr>
        <w:t>9.4.3</w:t>
      </w:r>
      <w:r>
        <w:rPr>
          <w:rFonts w:hint="eastAsia" w:ascii="宋体" w:hAnsi="宋体"/>
        </w:rPr>
        <w:t>项约定的施工环保措施计划是承包人阐明环保方针和拟采用的环保措施及方法等的文件，其内容应至少包括：</w:t>
      </w:r>
      <w:bookmarkEnd w:id="3505"/>
    </w:p>
    <w:p>
      <w:pPr>
        <w:spacing w:line="360" w:lineRule="auto"/>
        <w:ind w:firstLine="630" w:firstLineChars="300"/>
        <w:outlineLvl w:val="3"/>
        <w:rPr>
          <w:rFonts w:ascii="宋体"/>
        </w:rPr>
      </w:pPr>
      <w:bookmarkStart w:id="3506" w:name="_Toc497235600"/>
      <w:r>
        <w:rPr>
          <w:rFonts w:hint="eastAsia" w:ascii="宋体" w:hAnsi="宋体"/>
        </w:rPr>
        <w:t>（</w:t>
      </w:r>
      <w:r>
        <w:rPr>
          <w:rFonts w:ascii="宋体" w:hAnsi="宋体"/>
        </w:rPr>
        <w:t>1</w:t>
      </w:r>
      <w:r>
        <w:rPr>
          <w:rFonts w:hint="eastAsia" w:ascii="宋体" w:hAnsi="宋体"/>
        </w:rPr>
        <w:t>）承包人生活区（如果有）的生活用水和生活污水处理措施；</w:t>
      </w:r>
      <w:bookmarkEnd w:id="3506"/>
    </w:p>
    <w:p>
      <w:pPr>
        <w:spacing w:line="360" w:lineRule="auto"/>
        <w:ind w:firstLine="630" w:firstLineChars="300"/>
        <w:outlineLvl w:val="3"/>
        <w:rPr>
          <w:rFonts w:ascii="宋体"/>
        </w:rPr>
      </w:pPr>
      <w:bookmarkStart w:id="3507" w:name="_Toc497235601"/>
      <w:r>
        <w:rPr>
          <w:rFonts w:hint="eastAsia" w:ascii="宋体" w:hAnsi="宋体"/>
        </w:rPr>
        <w:t>（</w:t>
      </w:r>
      <w:r>
        <w:rPr>
          <w:rFonts w:ascii="宋体" w:hAnsi="宋体"/>
        </w:rPr>
        <w:t>2</w:t>
      </w:r>
      <w:r>
        <w:rPr>
          <w:rFonts w:hint="eastAsia" w:ascii="宋体" w:hAnsi="宋体"/>
        </w:rPr>
        <w:t>）施工生产废水处理措施；</w:t>
      </w:r>
      <w:bookmarkEnd w:id="3507"/>
    </w:p>
    <w:p>
      <w:pPr>
        <w:spacing w:line="360" w:lineRule="auto"/>
        <w:ind w:firstLine="630" w:firstLineChars="300"/>
        <w:outlineLvl w:val="3"/>
        <w:rPr>
          <w:rFonts w:ascii="宋体"/>
        </w:rPr>
      </w:pPr>
      <w:bookmarkStart w:id="3508" w:name="_Toc497235602"/>
      <w:r>
        <w:rPr>
          <w:rFonts w:hint="eastAsia" w:ascii="宋体" w:hAnsi="宋体"/>
        </w:rPr>
        <w:t>（</w:t>
      </w:r>
      <w:r>
        <w:rPr>
          <w:rFonts w:ascii="宋体" w:hAnsi="宋体"/>
        </w:rPr>
        <w:t>3</w:t>
      </w:r>
      <w:r>
        <w:rPr>
          <w:rFonts w:hint="eastAsia" w:ascii="宋体" w:hAnsi="宋体"/>
        </w:rPr>
        <w:t>）施工扬尘和废气的处理措施；</w:t>
      </w:r>
      <w:bookmarkEnd w:id="3508"/>
    </w:p>
    <w:p>
      <w:pPr>
        <w:spacing w:line="360" w:lineRule="auto"/>
        <w:ind w:firstLine="630" w:firstLineChars="300"/>
        <w:outlineLvl w:val="3"/>
        <w:rPr>
          <w:rFonts w:ascii="宋体"/>
        </w:rPr>
      </w:pPr>
      <w:bookmarkStart w:id="3509" w:name="_Toc497235603"/>
      <w:r>
        <w:rPr>
          <w:rFonts w:hint="eastAsia" w:ascii="宋体" w:hAnsi="宋体"/>
        </w:rPr>
        <w:t>（</w:t>
      </w:r>
      <w:r>
        <w:rPr>
          <w:rFonts w:ascii="宋体" w:hAnsi="宋体"/>
        </w:rPr>
        <w:t>4</w:t>
      </w:r>
      <w:r>
        <w:rPr>
          <w:rFonts w:hint="eastAsia" w:ascii="宋体" w:hAnsi="宋体"/>
        </w:rPr>
        <w:t>）施工噪声和光污染控制措施；</w:t>
      </w:r>
      <w:bookmarkEnd w:id="3509"/>
    </w:p>
    <w:p>
      <w:pPr>
        <w:spacing w:line="360" w:lineRule="auto"/>
        <w:ind w:firstLine="630" w:firstLineChars="300"/>
        <w:outlineLvl w:val="3"/>
        <w:rPr>
          <w:rFonts w:ascii="宋体"/>
        </w:rPr>
      </w:pPr>
      <w:bookmarkStart w:id="3510" w:name="_Toc497235604"/>
      <w:r>
        <w:rPr>
          <w:rFonts w:hint="eastAsia" w:ascii="宋体" w:hAnsi="宋体"/>
        </w:rPr>
        <w:t>（</w:t>
      </w:r>
      <w:r>
        <w:rPr>
          <w:rFonts w:ascii="宋体" w:hAnsi="宋体"/>
        </w:rPr>
        <w:t>5</w:t>
      </w:r>
      <w:r>
        <w:rPr>
          <w:rFonts w:hint="eastAsia" w:ascii="宋体" w:hAnsi="宋体"/>
        </w:rPr>
        <w:t>）节能减排措施；</w:t>
      </w:r>
      <w:bookmarkEnd w:id="3510"/>
    </w:p>
    <w:p>
      <w:pPr>
        <w:spacing w:line="360" w:lineRule="auto"/>
        <w:ind w:firstLine="630" w:firstLineChars="300"/>
        <w:outlineLvl w:val="3"/>
        <w:rPr>
          <w:rFonts w:ascii="宋体"/>
        </w:rPr>
      </w:pPr>
      <w:bookmarkStart w:id="3511" w:name="_Toc497235605"/>
      <w:r>
        <w:rPr>
          <w:rFonts w:hint="eastAsia" w:ascii="宋体" w:hAnsi="宋体"/>
        </w:rPr>
        <w:t>（</w:t>
      </w:r>
      <w:r>
        <w:rPr>
          <w:rFonts w:ascii="宋体" w:hAnsi="宋体"/>
        </w:rPr>
        <w:t>6</w:t>
      </w:r>
      <w:r>
        <w:rPr>
          <w:rFonts w:hint="eastAsia" w:ascii="宋体" w:hAnsi="宋体"/>
        </w:rPr>
        <w:t>）不可再生资源循环利用措施；</w:t>
      </w:r>
      <w:bookmarkEnd w:id="3511"/>
    </w:p>
    <w:p>
      <w:pPr>
        <w:spacing w:line="360" w:lineRule="auto"/>
        <w:ind w:firstLine="630" w:firstLineChars="300"/>
        <w:outlineLvl w:val="3"/>
        <w:rPr>
          <w:rFonts w:ascii="宋体"/>
        </w:rPr>
      </w:pPr>
      <w:bookmarkStart w:id="3512" w:name="_Toc497235606"/>
      <w:r>
        <w:rPr>
          <w:rFonts w:hint="eastAsia" w:ascii="宋体" w:hAnsi="宋体"/>
        </w:rPr>
        <w:t>（</w:t>
      </w:r>
      <w:r>
        <w:rPr>
          <w:rFonts w:ascii="宋体" w:hAnsi="宋体"/>
        </w:rPr>
        <w:t>7</w:t>
      </w:r>
      <w:r>
        <w:rPr>
          <w:rFonts w:hint="eastAsia" w:ascii="宋体" w:hAnsi="宋体"/>
        </w:rPr>
        <w:t>）建筑垃圾等固体废弃物处理措施；</w:t>
      </w:r>
      <w:bookmarkEnd w:id="3512"/>
    </w:p>
    <w:p>
      <w:pPr>
        <w:spacing w:line="360" w:lineRule="auto"/>
        <w:ind w:firstLine="630" w:firstLineChars="300"/>
        <w:outlineLvl w:val="3"/>
        <w:rPr>
          <w:rFonts w:ascii="宋体"/>
        </w:rPr>
      </w:pPr>
      <w:bookmarkStart w:id="3513" w:name="_Toc497235607"/>
      <w:r>
        <w:rPr>
          <w:rFonts w:hint="eastAsia" w:ascii="宋体" w:hAnsi="宋体"/>
        </w:rPr>
        <w:t>（</w:t>
      </w:r>
      <w:r>
        <w:rPr>
          <w:rFonts w:ascii="宋体" w:hAnsi="宋体"/>
        </w:rPr>
        <w:t>8</w:t>
      </w:r>
      <w:r>
        <w:rPr>
          <w:rFonts w:hint="eastAsia" w:ascii="宋体" w:hAnsi="宋体"/>
        </w:rPr>
        <w:t>）人群健康保护和卫生防疫措施；</w:t>
      </w:r>
      <w:bookmarkEnd w:id="3513"/>
    </w:p>
    <w:p>
      <w:pPr>
        <w:spacing w:line="360" w:lineRule="auto"/>
        <w:ind w:firstLine="630" w:firstLineChars="300"/>
        <w:outlineLvl w:val="3"/>
        <w:rPr>
          <w:rFonts w:ascii="宋体"/>
        </w:rPr>
      </w:pPr>
      <w:bookmarkStart w:id="3514" w:name="_Toc497235608"/>
      <w:r>
        <w:rPr>
          <w:rFonts w:hint="eastAsia" w:ascii="宋体" w:hAnsi="宋体"/>
        </w:rPr>
        <w:t>（</w:t>
      </w:r>
      <w:r>
        <w:rPr>
          <w:rFonts w:ascii="宋体" w:hAnsi="宋体"/>
        </w:rPr>
        <w:t>9</w:t>
      </w:r>
      <w:r>
        <w:rPr>
          <w:rFonts w:hint="eastAsia" w:ascii="宋体" w:hAnsi="宋体"/>
        </w:rPr>
        <w:t>）防止误用有害材料的保证措施；</w:t>
      </w:r>
      <w:bookmarkEnd w:id="3514"/>
    </w:p>
    <w:p>
      <w:pPr>
        <w:spacing w:line="360" w:lineRule="auto"/>
        <w:ind w:firstLine="630" w:firstLineChars="300"/>
        <w:outlineLvl w:val="3"/>
        <w:rPr>
          <w:rFonts w:ascii="宋体"/>
        </w:rPr>
      </w:pPr>
      <w:bookmarkStart w:id="3515" w:name="_Toc497235609"/>
      <w:r>
        <w:rPr>
          <w:rFonts w:hint="eastAsia" w:ascii="宋体" w:hAnsi="宋体"/>
        </w:rPr>
        <w:t>（</w:t>
      </w:r>
      <w:r>
        <w:rPr>
          <w:rFonts w:ascii="宋体" w:hAnsi="宋体"/>
        </w:rPr>
        <w:t>10</w:t>
      </w:r>
      <w:r>
        <w:rPr>
          <w:rFonts w:hint="eastAsia" w:ascii="宋体" w:hAnsi="宋体"/>
        </w:rPr>
        <w:t>）施工边坡工程的水土流失保护措施；</w:t>
      </w:r>
      <w:bookmarkEnd w:id="3515"/>
    </w:p>
    <w:p>
      <w:pPr>
        <w:spacing w:line="360" w:lineRule="auto"/>
        <w:ind w:firstLine="630" w:firstLineChars="300"/>
        <w:outlineLvl w:val="3"/>
        <w:rPr>
          <w:rFonts w:ascii="宋体"/>
        </w:rPr>
      </w:pPr>
      <w:bookmarkStart w:id="3516" w:name="_Toc497235610"/>
      <w:r>
        <w:rPr>
          <w:rFonts w:hint="eastAsia" w:ascii="宋体" w:hAnsi="宋体"/>
        </w:rPr>
        <w:t>（</w:t>
      </w:r>
      <w:r>
        <w:rPr>
          <w:rFonts w:ascii="宋体" w:hAnsi="宋体"/>
        </w:rPr>
        <w:t>11</w:t>
      </w:r>
      <w:r>
        <w:rPr>
          <w:rFonts w:hint="eastAsia" w:ascii="宋体" w:hAnsi="宋体"/>
        </w:rPr>
        <w:t>）道路污染防治措施；</w:t>
      </w:r>
      <w:bookmarkEnd w:id="3516"/>
    </w:p>
    <w:p>
      <w:pPr>
        <w:spacing w:line="360" w:lineRule="auto"/>
        <w:ind w:firstLine="630" w:firstLineChars="300"/>
        <w:outlineLvl w:val="3"/>
        <w:rPr>
          <w:rFonts w:ascii="宋体"/>
        </w:rPr>
      </w:pPr>
      <w:bookmarkStart w:id="3517" w:name="_Toc497235611"/>
      <w:r>
        <w:rPr>
          <w:rFonts w:hint="eastAsia" w:ascii="宋体" w:hAnsi="宋体"/>
        </w:rPr>
        <w:t>（</w:t>
      </w:r>
      <w:r>
        <w:rPr>
          <w:rFonts w:ascii="宋体" w:hAnsi="宋体"/>
        </w:rPr>
        <w:t>12</w:t>
      </w:r>
      <w:r>
        <w:rPr>
          <w:rFonts w:hint="eastAsia" w:ascii="宋体" w:hAnsi="宋体"/>
        </w:rPr>
        <w:t>）</w:t>
      </w:r>
      <w:r>
        <w:rPr>
          <w:rFonts w:hint="eastAsia" w:ascii="宋体" w:hAnsi="宋体"/>
          <w:szCs w:val="21"/>
        </w:rPr>
        <w:t>使用符合排放标准的非道路移动机械保证</w:t>
      </w:r>
      <w:r>
        <w:rPr>
          <w:rFonts w:hint="eastAsia" w:ascii="宋体" w:hAnsi="宋体"/>
        </w:rPr>
        <w:t>措施；</w:t>
      </w:r>
      <w:bookmarkEnd w:id="3517"/>
    </w:p>
    <w:p>
      <w:pPr>
        <w:spacing w:line="360" w:lineRule="auto"/>
        <w:ind w:firstLine="630" w:firstLineChars="300"/>
        <w:outlineLvl w:val="3"/>
        <w:rPr>
          <w:rFonts w:ascii="宋体"/>
          <w:szCs w:val="21"/>
        </w:rPr>
      </w:pPr>
      <w:bookmarkStart w:id="3518" w:name="_Toc497235612"/>
      <w:r>
        <w:rPr>
          <w:rFonts w:hint="eastAsia" w:ascii="宋体" w:hAnsi="宋体"/>
        </w:rPr>
        <w:t>（</w:t>
      </w:r>
      <w:r>
        <w:rPr>
          <w:rFonts w:ascii="宋体" w:hAnsi="宋体"/>
        </w:rPr>
        <w:t>13</w:t>
      </w:r>
      <w:r>
        <w:rPr>
          <w:rFonts w:hint="eastAsia" w:ascii="宋体" w:hAnsi="宋体"/>
        </w:rPr>
        <w:t>）</w:t>
      </w:r>
      <w:r>
        <w:rPr>
          <w:rFonts w:hint="eastAsia" w:ascii="宋体" w:hAnsi="宋体"/>
          <w:szCs w:val="21"/>
        </w:rPr>
        <w:t>做好行业挥发性有机物治理</w:t>
      </w:r>
      <w:r>
        <w:rPr>
          <w:rFonts w:hint="eastAsia" w:ascii="宋体" w:hAnsi="宋体"/>
          <w:kern w:val="0"/>
          <w:szCs w:val="21"/>
        </w:rPr>
        <w:t>（如</w:t>
      </w:r>
      <w:r>
        <w:rPr>
          <w:rFonts w:hint="eastAsia" w:ascii="宋体" w:hAnsi="宋体"/>
          <w:kern w:val="0"/>
        </w:rPr>
        <w:t>建筑外墙涂装、钢结构等鼓励使用水性漆替代油性漆</w:t>
      </w:r>
      <w:r>
        <w:rPr>
          <w:rFonts w:hint="eastAsia" w:ascii="宋体" w:hAnsi="宋体"/>
          <w:kern w:val="0"/>
          <w:szCs w:val="21"/>
        </w:rPr>
        <w:t>）</w:t>
      </w:r>
      <w:r>
        <w:rPr>
          <w:rFonts w:hint="eastAsia" w:ascii="宋体" w:hAnsi="宋体"/>
          <w:szCs w:val="21"/>
        </w:rPr>
        <w:t>的保证措施；</w:t>
      </w:r>
      <w:bookmarkEnd w:id="3518"/>
    </w:p>
    <w:p>
      <w:pPr>
        <w:spacing w:line="360" w:lineRule="auto"/>
        <w:ind w:firstLine="630" w:firstLineChars="300"/>
        <w:outlineLvl w:val="3"/>
        <w:rPr>
          <w:rFonts w:ascii="宋体"/>
        </w:rPr>
      </w:pPr>
      <w:bookmarkStart w:id="3519" w:name="_Toc497235613"/>
      <w:r>
        <w:rPr>
          <w:rFonts w:hint="eastAsia" w:ascii="宋体" w:hAnsi="宋体"/>
        </w:rPr>
        <w:t>（</w:t>
      </w:r>
      <w:r>
        <w:rPr>
          <w:rFonts w:ascii="宋体" w:hAnsi="宋体"/>
        </w:rPr>
        <w:t>14</w:t>
      </w:r>
      <w:r>
        <w:rPr>
          <w:rFonts w:hint="eastAsia" w:ascii="宋体" w:hAnsi="宋体"/>
        </w:rPr>
        <w:t>）完工后场地清理及其植被（如果有）恢复的规划和措施；</w:t>
      </w:r>
      <w:bookmarkEnd w:id="3519"/>
    </w:p>
    <w:p>
      <w:pPr>
        <w:spacing w:line="360" w:lineRule="auto"/>
        <w:ind w:firstLine="630" w:firstLineChars="300"/>
        <w:outlineLvl w:val="3"/>
        <w:rPr>
          <w:rFonts w:ascii="宋体"/>
        </w:rPr>
      </w:pPr>
      <w:bookmarkStart w:id="3520" w:name="_Toc497235614"/>
      <w:r>
        <w:rPr>
          <w:rFonts w:hint="eastAsia" w:ascii="宋体" w:hAnsi="宋体"/>
        </w:rPr>
        <w:t>（</w:t>
      </w:r>
      <w:r>
        <w:rPr>
          <w:rFonts w:ascii="宋体" w:hAnsi="宋体"/>
        </w:rPr>
        <w:t>15</w:t>
      </w:r>
      <w:r>
        <w:rPr>
          <w:rFonts w:hint="eastAsia" w:ascii="宋体" w:hAnsi="宋体"/>
        </w:rPr>
        <w:t>）其他要求</w:t>
      </w:r>
      <w:r>
        <w:rPr>
          <w:rFonts w:hint="eastAsia" w:ascii="黑体" w:hAnsi="黑体" w:eastAsia="黑体"/>
        </w:rPr>
        <w:t>见技术标准和要求专用部分。</w:t>
      </w:r>
      <w:bookmarkEnd w:id="3520"/>
    </w:p>
    <w:p>
      <w:pPr>
        <w:spacing w:line="360" w:lineRule="auto"/>
        <w:ind w:firstLine="630" w:firstLineChars="300"/>
        <w:outlineLvl w:val="3"/>
        <w:rPr>
          <w:rFonts w:ascii="宋体"/>
        </w:rPr>
      </w:pPr>
      <w:bookmarkStart w:id="3521" w:name="_Toc497235615"/>
      <w:r>
        <w:rPr>
          <w:rFonts w:ascii="宋体" w:hAnsi="宋体"/>
        </w:rPr>
        <w:t xml:space="preserve">6.9.2  </w:t>
      </w:r>
      <w:r>
        <w:rPr>
          <w:rFonts w:hint="eastAsia" w:ascii="宋体" w:hAnsi="宋体"/>
        </w:rPr>
        <w:t>施工环保措施计划应当在合同条款第</w:t>
      </w:r>
      <w:r>
        <w:rPr>
          <w:rFonts w:ascii="宋体" w:hAnsi="宋体"/>
        </w:rPr>
        <w:t>9.4</w:t>
      </w:r>
      <w:r>
        <w:rPr>
          <w:rFonts w:hint="eastAsia" w:ascii="宋体" w:hAnsi="宋体"/>
        </w:rPr>
        <w:t>款约定的期限内报送监理人。承包人应当严格执行经监理人批准的施工环保措施计划，并及时补充、修订和完善施工环保措施计划。</w:t>
      </w:r>
      <w:bookmarkEnd w:id="3521"/>
    </w:p>
    <w:p>
      <w:pPr>
        <w:pStyle w:val="155"/>
        <w:spacing w:before="120" w:after="120"/>
      </w:pPr>
      <w:bookmarkStart w:id="3522" w:name="_Toc117350602"/>
      <w:r>
        <w:t xml:space="preserve">6.10  </w:t>
      </w:r>
      <w:r>
        <w:rPr>
          <w:rFonts w:hint="eastAsia"/>
        </w:rPr>
        <w:t>施工现场安全文明施工要求</w:t>
      </w:r>
      <w:bookmarkEnd w:id="3522"/>
    </w:p>
    <w:p>
      <w:pPr>
        <w:spacing w:line="360" w:lineRule="auto"/>
        <w:ind w:firstLine="630" w:firstLineChars="300"/>
        <w:outlineLvl w:val="3"/>
        <w:rPr>
          <w:rFonts w:ascii="黑体" w:hAnsi="黑体" w:eastAsia="黑体"/>
        </w:rPr>
      </w:pPr>
      <w:r>
        <w:rPr>
          <w:rFonts w:ascii="宋体" w:hAnsi="宋体"/>
        </w:rPr>
        <w:t xml:space="preserve">6.10.1 </w:t>
      </w:r>
      <w:r>
        <w:rPr>
          <w:rFonts w:hint="eastAsia" w:ascii="宋体" w:hAnsi="宋体" w:cs="Arial"/>
          <w:szCs w:val="21"/>
        </w:rPr>
        <w:t>施工现场安全生产标准化管理目标等级</w:t>
      </w:r>
      <w:r>
        <w:rPr>
          <w:rFonts w:hint="eastAsia" w:ascii="黑体" w:hAnsi="黑体" w:eastAsia="黑体"/>
        </w:rPr>
        <w:t>见技术标准和要求专用部分。</w:t>
      </w:r>
    </w:p>
    <w:p>
      <w:pPr>
        <w:spacing w:line="360" w:lineRule="auto"/>
        <w:ind w:firstLine="630" w:firstLineChars="300"/>
        <w:outlineLvl w:val="3"/>
        <w:rPr>
          <w:rFonts w:ascii="宋体"/>
        </w:rPr>
      </w:pPr>
      <w:r>
        <w:rPr>
          <w:rFonts w:ascii="宋体" w:hAnsi="宋体"/>
        </w:rPr>
        <w:t>6.10.2</w:t>
      </w:r>
      <w:r>
        <w:rPr>
          <w:rFonts w:hint="eastAsia" w:ascii="宋体" w:hAnsi="宋体"/>
        </w:rPr>
        <w:t>承包人应当按照合同文件中对安全文明施工的相关要求进行安全文明施工管理。</w:t>
      </w:r>
    </w:p>
    <w:p>
      <w:pPr>
        <w:spacing w:line="360" w:lineRule="auto"/>
        <w:ind w:firstLine="630" w:firstLineChars="300"/>
        <w:outlineLvl w:val="3"/>
        <w:rPr>
          <w:rFonts w:ascii="宋体" w:hAnsi="宋体"/>
        </w:rPr>
      </w:pPr>
      <w:r>
        <w:rPr>
          <w:rFonts w:ascii="宋体" w:hAnsi="宋体"/>
        </w:rPr>
        <w:t xml:space="preserve">6.10.3 </w:t>
      </w:r>
      <w:r>
        <w:rPr>
          <w:rFonts w:hint="eastAsia" w:ascii="宋体" w:hAnsi="宋体"/>
        </w:rPr>
        <w:t>承包人应当依据本章</w:t>
      </w:r>
      <w:r>
        <w:rPr>
          <w:rFonts w:ascii="宋体" w:hAnsi="宋体"/>
        </w:rPr>
        <w:t>6.10.1</w:t>
      </w:r>
      <w:r>
        <w:rPr>
          <w:rFonts w:hint="eastAsia" w:ascii="宋体" w:hAnsi="宋体"/>
        </w:rPr>
        <w:t>项中约定的施工现场安全生产标准化管理目标等级要求，按照现行施工现场安全生产标准化分级管理标准中对应目标等级要求进行施工现场安全生产标准化管理。</w:t>
      </w:r>
    </w:p>
    <w:p>
      <w:pPr>
        <w:spacing w:line="360" w:lineRule="auto"/>
        <w:ind w:firstLine="630" w:firstLineChars="300"/>
        <w:outlineLvl w:val="3"/>
        <w:rPr>
          <w:rFonts w:ascii="宋体"/>
        </w:rPr>
      </w:pPr>
      <w:r>
        <w:rPr>
          <w:rFonts w:ascii="宋体" w:hAnsi="宋体"/>
        </w:rPr>
        <w:t>6.10.4</w:t>
      </w:r>
      <w:r>
        <w:rPr>
          <w:rFonts w:hint="eastAsia" w:ascii="宋体" w:hAnsi="宋体"/>
        </w:rPr>
        <w:t>特殊安全文明施工要求应当与技术标准和要求专用部分约定的要求一致或高于技术标准和要求专用部分约定。</w:t>
      </w:r>
    </w:p>
    <w:p>
      <w:pPr>
        <w:pStyle w:val="144"/>
        <w:spacing w:before="120" w:after="120"/>
      </w:pPr>
      <w:bookmarkStart w:id="3523" w:name="_Toc490222658"/>
      <w:bookmarkStart w:id="3524" w:name="_Toc483580921"/>
      <w:bookmarkStart w:id="3525" w:name="_Toc486580234"/>
      <w:bookmarkStart w:id="3526" w:name="_Toc489280044"/>
      <w:bookmarkStart w:id="3527" w:name="_Toc117350603"/>
      <w:r>
        <w:t>7.</w:t>
      </w:r>
      <w:r>
        <w:rPr>
          <w:rFonts w:hint="eastAsia"/>
        </w:rPr>
        <w:t>治安保卫</w:t>
      </w:r>
      <w:bookmarkEnd w:id="3523"/>
      <w:bookmarkEnd w:id="3524"/>
      <w:bookmarkEnd w:id="3525"/>
      <w:bookmarkEnd w:id="3526"/>
      <w:bookmarkEnd w:id="3527"/>
    </w:p>
    <w:p>
      <w:pPr>
        <w:spacing w:line="360" w:lineRule="auto"/>
        <w:ind w:firstLine="420" w:firstLineChars="200"/>
        <w:outlineLvl w:val="3"/>
        <w:rPr>
          <w:rFonts w:ascii="宋体"/>
        </w:rPr>
      </w:pPr>
      <w:bookmarkStart w:id="3528" w:name="_Toc497235617"/>
      <w:r>
        <w:rPr>
          <w:rFonts w:ascii="宋体" w:hAnsi="宋体"/>
        </w:rPr>
        <w:t xml:space="preserve">7.1  </w:t>
      </w:r>
      <w:r>
        <w:rPr>
          <w:rFonts w:hint="eastAsia" w:ascii="宋体" w:hAnsi="宋体"/>
        </w:rPr>
        <w:t>承包人应为施工现场提供</w:t>
      </w:r>
      <w:r>
        <w:rPr>
          <w:rFonts w:ascii="宋体" w:hAnsi="宋体"/>
        </w:rPr>
        <w:t>24</w:t>
      </w:r>
      <w:r>
        <w:rPr>
          <w:rFonts w:hint="eastAsia" w:ascii="宋体" w:hAnsi="宋体"/>
        </w:rPr>
        <w:t>小时的保安保卫服务，施工现场应采取封闭式集中管理，严格进、出场实名制考勤，针对疫情常态化防控，提出优化施工作业，减少人员聚集和交叉作业，未经批准严禁任何人进入现场，控制人员、材料和设备等进出场，防止现场材料和设备或其他物品失窃，以及禁止任何现场内的打架斗殴事件等具体举措。</w:t>
      </w:r>
      <w:bookmarkEnd w:id="3528"/>
    </w:p>
    <w:p>
      <w:pPr>
        <w:spacing w:line="360" w:lineRule="auto"/>
        <w:ind w:firstLine="420" w:firstLineChars="200"/>
        <w:outlineLvl w:val="3"/>
        <w:rPr>
          <w:rFonts w:ascii="宋体"/>
        </w:rPr>
      </w:pPr>
      <w:bookmarkStart w:id="3529" w:name="_Toc497235618"/>
      <w:r>
        <w:rPr>
          <w:rFonts w:ascii="宋体" w:hAnsi="宋体"/>
        </w:rPr>
        <w:t xml:space="preserve">7.2  </w:t>
      </w:r>
      <w:r>
        <w:rPr>
          <w:rFonts w:hint="eastAsia" w:ascii="宋体" w:hAnsi="宋体"/>
        </w:rPr>
        <w:t>承包人的保安人员应是训练有素的专业保安人员，承包人可以雇佣专业保安公司负责现场保安和保卫；保安保卫制度除规范现场出入大门控制外，还应规定定时和不定时的施工场地</w:t>
      </w:r>
      <w:r>
        <w:rPr>
          <w:rFonts w:ascii="宋体" w:hAnsi="宋体"/>
        </w:rPr>
        <w:t>(</w:t>
      </w:r>
      <w:r>
        <w:rPr>
          <w:rFonts w:hint="eastAsia" w:ascii="宋体" w:hAnsi="宋体"/>
        </w:rPr>
        <w:t>现场</w:t>
      </w:r>
      <w:r>
        <w:rPr>
          <w:rFonts w:ascii="宋体" w:hAnsi="宋体"/>
        </w:rPr>
        <w:t>)</w:t>
      </w:r>
      <w:r>
        <w:rPr>
          <w:rFonts w:hint="eastAsia" w:ascii="宋体" w:hAnsi="宋体"/>
        </w:rPr>
        <w:t>周边和全现场的保安巡逻。</w:t>
      </w:r>
      <w:bookmarkEnd w:id="3529"/>
    </w:p>
    <w:p>
      <w:pPr>
        <w:spacing w:line="360" w:lineRule="auto"/>
        <w:ind w:firstLine="420" w:firstLineChars="200"/>
        <w:outlineLvl w:val="3"/>
        <w:rPr>
          <w:rFonts w:ascii="宋体"/>
        </w:rPr>
      </w:pPr>
      <w:bookmarkStart w:id="3530" w:name="_Toc497235619"/>
      <w:r>
        <w:rPr>
          <w:rFonts w:ascii="宋体" w:hAnsi="宋体"/>
        </w:rPr>
        <w:t xml:space="preserve">7.3  </w:t>
      </w:r>
      <w:r>
        <w:rPr>
          <w:rFonts w:hint="eastAsia" w:ascii="宋体" w:hAnsi="宋体"/>
        </w:rPr>
        <w:t>承包人应制定并实施严格的施工场地（现场）出入制度并报监理人审批；车辆的出入须有出入审批制度，并有指定的专人负责管理；人员进出现场应有出入证，出入证须以经过监理人批准的格式印制。</w:t>
      </w:r>
      <w:bookmarkEnd w:id="3530"/>
    </w:p>
    <w:p>
      <w:pPr>
        <w:spacing w:line="360" w:lineRule="auto"/>
        <w:ind w:firstLine="420" w:firstLineChars="200"/>
        <w:outlineLvl w:val="3"/>
        <w:rPr>
          <w:rFonts w:ascii="宋体"/>
        </w:rPr>
      </w:pPr>
      <w:bookmarkStart w:id="3531" w:name="_Toc497235620"/>
      <w:r>
        <w:rPr>
          <w:rFonts w:ascii="宋体" w:hAnsi="宋体"/>
        </w:rPr>
        <w:t xml:space="preserve">7.4  </w:t>
      </w:r>
      <w:r>
        <w:rPr>
          <w:rFonts w:hint="eastAsia" w:ascii="宋体" w:hAnsi="宋体"/>
        </w:rPr>
        <w:t>承包人应确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bookmarkEnd w:id="3531"/>
    </w:p>
    <w:p>
      <w:pPr>
        <w:spacing w:line="360" w:lineRule="auto"/>
        <w:ind w:firstLine="420" w:firstLineChars="200"/>
        <w:outlineLvl w:val="3"/>
        <w:rPr>
          <w:rFonts w:ascii="宋体"/>
        </w:rPr>
      </w:pPr>
      <w:bookmarkStart w:id="3532" w:name="_Toc497235621"/>
      <w:r>
        <w:rPr>
          <w:rFonts w:ascii="宋体" w:hAnsi="宋体"/>
        </w:rPr>
        <w:t xml:space="preserve">7.5  </w:t>
      </w:r>
      <w:r>
        <w:rPr>
          <w:rFonts w:hint="eastAsia" w:ascii="宋体" w:hAnsi="宋体"/>
        </w:rPr>
        <w:t>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bookmarkEnd w:id="3532"/>
    </w:p>
    <w:p>
      <w:pPr>
        <w:spacing w:line="360" w:lineRule="auto"/>
        <w:ind w:firstLine="420" w:firstLineChars="200"/>
        <w:outlineLvl w:val="3"/>
        <w:rPr>
          <w:rFonts w:ascii="宋体"/>
        </w:rPr>
      </w:pPr>
      <w:bookmarkStart w:id="3533" w:name="_Toc497235622"/>
      <w:r>
        <w:rPr>
          <w:rFonts w:ascii="宋体" w:hAnsi="宋体"/>
        </w:rPr>
        <w:t xml:space="preserve">7.6  </w:t>
      </w:r>
      <w:r>
        <w:rPr>
          <w:rFonts w:hint="eastAsia" w:ascii="宋体" w:hAnsi="宋体"/>
        </w:rPr>
        <w:t>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bookmarkEnd w:id="3533"/>
    </w:p>
    <w:p>
      <w:pPr>
        <w:spacing w:line="360" w:lineRule="auto"/>
        <w:ind w:firstLine="420" w:firstLineChars="200"/>
        <w:outlineLvl w:val="3"/>
        <w:rPr>
          <w:rFonts w:ascii="宋体"/>
        </w:rPr>
      </w:pPr>
      <w:bookmarkStart w:id="3534" w:name="_Toc497235623"/>
      <w:r>
        <w:rPr>
          <w:rFonts w:ascii="宋体" w:hAnsi="宋体"/>
        </w:rPr>
        <w:t xml:space="preserve">7.7  </w:t>
      </w:r>
      <w:r>
        <w:rPr>
          <w:rFonts w:hint="eastAsia" w:ascii="宋体" w:hAnsi="宋体"/>
        </w:rPr>
        <w:t>突发治安事件紧急预案的要求</w:t>
      </w:r>
      <w:r>
        <w:rPr>
          <w:rFonts w:hint="eastAsia" w:ascii="黑体" w:hAnsi="黑体" w:eastAsia="黑体"/>
        </w:rPr>
        <w:t>见技术标准和要求专用部分。</w:t>
      </w:r>
      <w:bookmarkEnd w:id="3534"/>
    </w:p>
    <w:p>
      <w:pPr>
        <w:spacing w:line="360" w:lineRule="auto"/>
        <w:ind w:firstLine="420" w:firstLineChars="200"/>
        <w:outlineLvl w:val="3"/>
        <w:rPr>
          <w:rFonts w:ascii="宋体"/>
        </w:rPr>
      </w:pPr>
      <w:bookmarkStart w:id="3535" w:name="_Toc497235624"/>
      <w:r>
        <w:rPr>
          <w:rFonts w:ascii="宋体" w:hAnsi="宋体"/>
        </w:rPr>
        <w:t xml:space="preserve">7.8  </w:t>
      </w:r>
      <w:r>
        <w:rPr>
          <w:rFonts w:hint="eastAsia" w:ascii="宋体" w:hAnsi="宋体"/>
        </w:rPr>
        <w:t>治安保卫管理方面的其他要求</w:t>
      </w:r>
      <w:r>
        <w:rPr>
          <w:rFonts w:hint="eastAsia" w:ascii="黑体" w:hAnsi="黑体" w:eastAsia="黑体"/>
        </w:rPr>
        <w:t>见技术标准和要求专用部分。</w:t>
      </w:r>
      <w:bookmarkEnd w:id="3535"/>
    </w:p>
    <w:p>
      <w:pPr>
        <w:pStyle w:val="144"/>
        <w:spacing w:before="120" w:after="120"/>
      </w:pPr>
      <w:bookmarkStart w:id="3536" w:name="_Toc489280045"/>
      <w:bookmarkStart w:id="3537" w:name="_Toc490222659"/>
      <w:bookmarkStart w:id="3538" w:name="_Toc483580922"/>
      <w:bookmarkStart w:id="3539" w:name="_Toc486580235"/>
      <w:bookmarkStart w:id="3540" w:name="_Toc117350604"/>
      <w:r>
        <w:t>8.</w:t>
      </w:r>
      <w:r>
        <w:rPr>
          <w:rFonts w:hint="eastAsia"/>
        </w:rPr>
        <w:t>地上、地下设施和周边建筑物的临时保护</w:t>
      </w:r>
      <w:bookmarkEnd w:id="3536"/>
      <w:bookmarkEnd w:id="3537"/>
      <w:bookmarkEnd w:id="3538"/>
      <w:bookmarkEnd w:id="3539"/>
      <w:bookmarkEnd w:id="3540"/>
    </w:p>
    <w:p>
      <w:pPr>
        <w:spacing w:line="360" w:lineRule="auto"/>
        <w:ind w:firstLine="420" w:firstLineChars="200"/>
        <w:outlineLvl w:val="3"/>
        <w:rPr>
          <w:rFonts w:ascii="宋体"/>
        </w:rPr>
      </w:pPr>
      <w:bookmarkStart w:id="3541" w:name="_Toc497235626"/>
      <w:r>
        <w:rPr>
          <w:rFonts w:ascii="宋体" w:hAnsi="宋体"/>
        </w:rPr>
        <w:t xml:space="preserve">8.1  </w:t>
      </w:r>
      <w:r>
        <w:rPr>
          <w:rFonts w:hint="eastAsia" w:ascii="宋体" w:hAnsi="宋体"/>
        </w:rPr>
        <w:t>承包人应为施工场地及其周边现有的地上、地下设施和建筑物提供足够的临时保护设施，确保施工过程中这些设施和建筑物不会受到干扰和破坏。</w:t>
      </w:r>
      <w:bookmarkEnd w:id="3541"/>
    </w:p>
    <w:p>
      <w:pPr>
        <w:spacing w:line="360" w:lineRule="auto"/>
        <w:ind w:firstLine="420" w:firstLineChars="200"/>
        <w:outlineLvl w:val="3"/>
        <w:rPr>
          <w:rFonts w:ascii="宋体"/>
        </w:rPr>
      </w:pPr>
      <w:bookmarkStart w:id="3542" w:name="_Toc497235627"/>
      <w:r>
        <w:rPr>
          <w:rFonts w:ascii="宋体" w:hAnsi="宋体"/>
        </w:rPr>
        <w:t xml:space="preserve">8.2  </w:t>
      </w:r>
      <w:r>
        <w:rPr>
          <w:rFonts w:hint="eastAsia" w:ascii="宋体" w:hAnsi="宋体"/>
        </w:rPr>
        <w:t>承包人应当制订现有设施临时保护方案和应急处理方案，并在本工程开工前至少提前</w:t>
      </w:r>
      <w:r>
        <w:rPr>
          <w:rFonts w:ascii="宋体" w:hAnsi="宋体"/>
        </w:rPr>
        <w:t>7</w:t>
      </w:r>
      <w:r>
        <w:rPr>
          <w:rFonts w:hint="eastAsia" w:ascii="宋体" w:hAnsi="宋体"/>
        </w:rPr>
        <w:t>天报送监理人，监理人应在收到现有设施临时保护方案后的</w:t>
      </w:r>
      <w:r>
        <w:rPr>
          <w:rFonts w:ascii="宋体" w:hAnsi="宋体"/>
        </w:rPr>
        <w:t>3</w:t>
      </w:r>
      <w:r>
        <w:rPr>
          <w:rFonts w:hint="eastAsia" w:ascii="宋体" w:hAnsi="宋体"/>
        </w:rPr>
        <w:t>天内批复承包人。承包人应当严格执行经监理人批准的保护方案，并保证在任何可能影响周边现有的地上、地下设施或周边建筑物的施工作业开始前，相应的临时保护设施能够落实到位。</w:t>
      </w:r>
      <w:bookmarkEnd w:id="3542"/>
    </w:p>
    <w:p>
      <w:pPr>
        <w:spacing w:line="360" w:lineRule="auto"/>
        <w:ind w:firstLine="420" w:firstLineChars="200"/>
        <w:outlineLvl w:val="3"/>
        <w:rPr>
          <w:rFonts w:ascii="黑体" w:hAnsi="黑体" w:eastAsia="黑体"/>
        </w:rPr>
      </w:pPr>
      <w:bookmarkStart w:id="3543" w:name="_Toc497235628"/>
      <w:r>
        <w:rPr>
          <w:rFonts w:ascii="宋体" w:hAnsi="宋体"/>
        </w:rPr>
        <w:t xml:space="preserve">8.3  </w:t>
      </w:r>
      <w:r>
        <w:rPr>
          <w:rFonts w:hint="eastAsia" w:ascii="宋体" w:hAnsi="宋体"/>
        </w:rPr>
        <w:t>发包人特别提醒承包人注意地上、地下设施和周边建筑物的保护</w:t>
      </w:r>
      <w:r>
        <w:rPr>
          <w:rFonts w:hint="eastAsia" w:ascii="黑体" w:hAnsi="黑体" w:eastAsia="黑体"/>
        </w:rPr>
        <w:t>见技术标准和要求专用部分。</w:t>
      </w:r>
      <w:bookmarkEnd w:id="3543"/>
    </w:p>
    <w:p>
      <w:pPr>
        <w:spacing w:line="360" w:lineRule="auto"/>
        <w:ind w:firstLine="420" w:firstLineChars="200"/>
        <w:outlineLvl w:val="3"/>
        <w:rPr>
          <w:rFonts w:ascii="宋体"/>
        </w:rPr>
      </w:pPr>
      <w:bookmarkStart w:id="3544" w:name="_Toc497235629"/>
      <w:r>
        <w:rPr>
          <w:rFonts w:ascii="宋体" w:hAnsi="宋体"/>
        </w:rPr>
        <w:t xml:space="preserve">8.4  </w:t>
      </w:r>
      <w:r>
        <w:rPr>
          <w:rFonts w:hint="eastAsia" w:ascii="宋体" w:hAnsi="宋体"/>
        </w:rPr>
        <w:t>地上、地下设施和周边建筑物的临时保护的其他要求</w:t>
      </w:r>
      <w:r>
        <w:rPr>
          <w:rFonts w:hint="eastAsia" w:ascii="黑体" w:hAnsi="黑体" w:eastAsia="黑体"/>
        </w:rPr>
        <w:t>见技术标准和要求专用部分。</w:t>
      </w:r>
      <w:bookmarkEnd w:id="3544"/>
    </w:p>
    <w:p>
      <w:pPr>
        <w:pStyle w:val="144"/>
        <w:spacing w:before="120" w:after="120"/>
      </w:pPr>
      <w:bookmarkStart w:id="3545" w:name="_Toc483580923"/>
      <w:bookmarkStart w:id="3546" w:name="_Toc486580236"/>
      <w:bookmarkStart w:id="3547" w:name="_Toc489280046"/>
      <w:bookmarkStart w:id="3548" w:name="_Toc490222660"/>
      <w:bookmarkStart w:id="3549" w:name="_Toc117350605"/>
      <w:r>
        <w:t>9.</w:t>
      </w:r>
      <w:r>
        <w:rPr>
          <w:rFonts w:hint="eastAsia"/>
        </w:rPr>
        <w:t>样品和材料代换</w:t>
      </w:r>
      <w:bookmarkEnd w:id="3545"/>
      <w:bookmarkEnd w:id="3546"/>
      <w:bookmarkEnd w:id="3547"/>
      <w:bookmarkEnd w:id="3548"/>
      <w:bookmarkEnd w:id="3549"/>
    </w:p>
    <w:p>
      <w:pPr>
        <w:pStyle w:val="155"/>
        <w:spacing w:before="120" w:after="120"/>
      </w:pPr>
      <w:bookmarkStart w:id="3550" w:name="_Toc486580237"/>
      <w:bookmarkStart w:id="3551" w:name="_Toc483580924"/>
      <w:bookmarkStart w:id="3552" w:name="_Toc489280047"/>
      <w:bookmarkStart w:id="3553" w:name="_Toc117350606"/>
      <w:r>
        <w:t xml:space="preserve">9.1  </w:t>
      </w:r>
      <w:r>
        <w:rPr>
          <w:rFonts w:hint="eastAsia"/>
        </w:rPr>
        <w:t>样品</w:t>
      </w:r>
      <w:bookmarkEnd w:id="3550"/>
      <w:bookmarkEnd w:id="3551"/>
      <w:bookmarkEnd w:id="3552"/>
      <w:bookmarkEnd w:id="3553"/>
    </w:p>
    <w:p>
      <w:pPr>
        <w:spacing w:line="360" w:lineRule="auto"/>
        <w:ind w:firstLine="630" w:firstLineChars="300"/>
        <w:outlineLvl w:val="3"/>
        <w:rPr>
          <w:rFonts w:ascii="宋体"/>
        </w:rPr>
      </w:pPr>
      <w:bookmarkStart w:id="3554" w:name="_Toc497235632"/>
      <w:r>
        <w:rPr>
          <w:rFonts w:ascii="宋体" w:hAnsi="宋体"/>
        </w:rPr>
        <w:t xml:space="preserve">9.1.1  </w:t>
      </w:r>
      <w:r>
        <w:rPr>
          <w:rFonts w:hint="eastAsia" w:ascii="宋体" w:hAnsi="宋体"/>
        </w:rPr>
        <w:t>本工程需要承包人提供样品的材料和工程设备</w:t>
      </w:r>
      <w:r>
        <w:rPr>
          <w:rFonts w:hint="eastAsia" w:ascii="黑体" w:hAnsi="黑体" w:eastAsia="黑体"/>
        </w:rPr>
        <w:t>见技术标准和要求专用部分。</w:t>
      </w:r>
      <w:bookmarkEnd w:id="3554"/>
    </w:p>
    <w:p>
      <w:pPr>
        <w:spacing w:line="360" w:lineRule="auto"/>
        <w:ind w:firstLine="630" w:firstLineChars="300"/>
        <w:outlineLvl w:val="3"/>
        <w:rPr>
          <w:rFonts w:ascii="宋体"/>
        </w:rPr>
      </w:pPr>
      <w:bookmarkStart w:id="3555" w:name="_Toc497235633"/>
      <w:r>
        <w:rPr>
          <w:rFonts w:ascii="宋体" w:hAnsi="宋体"/>
        </w:rPr>
        <w:t xml:space="preserve">9.1.2  </w:t>
      </w:r>
      <w:r>
        <w:rPr>
          <w:rFonts w:hint="eastAsia" w:ascii="宋体" w:hAnsi="宋体"/>
        </w:rPr>
        <w:t>对于本款第</w:t>
      </w:r>
      <w:r>
        <w:rPr>
          <w:rFonts w:ascii="宋体" w:hAnsi="宋体"/>
        </w:rPr>
        <w:t>9.1.1</w:t>
      </w:r>
      <w:r>
        <w:rPr>
          <w:rFonts w:hint="eastAsia" w:ascii="宋体" w:hAnsi="宋体"/>
        </w:rPr>
        <w:t>项约定的材料和工程设备，承包人应按照合同条款第</w:t>
      </w:r>
      <w:r>
        <w:rPr>
          <w:rFonts w:ascii="宋体" w:hAnsi="宋体"/>
        </w:rPr>
        <w:t>5.1.2</w:t>
      </w:r>
      <w:r>
        <w:rPr>
          <w:rFonts w:hint="eastAsia" w:ascii="宋体" w:hAnsi="宋体"/>
        </w:rPr>
        <w:t>项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bookmarkEnd w:id="3555"/>
    </w:p>
    <w:p>
      <w:pPr>
        <w:spacing w:line="360" w:lineRule="auto"/>
        <w:ind w:firstLine="630" w:firstLineChars="300"/>
        <w:outlineLvl w:val="3"/>
        <w:rPr>
          <w:rFonts w:ascii="宋体"/>
        </w:rPr>
      </w:pPr>
      <w:bookmarkStart w:id="3556" w:name="_Toc497235634"/>
      <w:r>
        <w:rPr>
          <w:rFonts w:ascii="宋体" w:hAnsi="宋体"/>
        </w:rPr>
        <w:t xml:space="preserve">9.1.3  </w:t>
      </w:r>
      <w:r>
        <w:rPr>
          <w:rFonts w:hint="eastAsia" w:ascii="宋体" w:hAnsi="宋体"/>
        </w:rPr>
        <w:t>合同条款第</w:t>
      </w:r>
      <w:r>
        <w:rPr>
          <w:rFonts w:ascii="宋体" w:hAnsi="宋体"/>
        </w:rPr>
        <w:t>15.8.2</w:t>
      </w:r>
      <w:r>
        <w:rPr>
          <w:rFonts w:hint="eastAsia" w:ascii="宋体" w:hAnsi="宋体"/>
        </w:rPr>
        <w:t>项约定的依法不需要招标的、以暂估价形式包括在工程量清单中的材料和工程设备，所附资料除本款第</w:t>
      </w:r>
      <w:r>
        <w:rPr>
          <w:rFonts w:ascii="宋体" w:hAnsi="宋体"/>
        </w:rPr>
        <w:t>9.1.2</w:t>
      </w:r>
      <w:r>
        <w:rPr>
          <w:rFonts w:hint="eastAsia" w:ascii="宋体" w:hAnsi="宋体"/>
        </w:rPr>
        <w:t>项约定的内容外，还应附上价格资料，每一类材料设备，至少应准备符合合同要求的三个产品，价格分高、中、低三档，以便监理人和发包人选择和批准。</w:t>
      </w:r>
      <w:bookmarkEnd w:id="3556"/>
    </w:p>
    <w:p>
      <w:pPr>
        <w:spacing w:line="360" w:lineRule="auto"/>
        <w:ind w:firstLine="630" w:firstLineChars="300"/>
        <w:outlineLvl w:val="3"/>
        <w:rPr>
          <w:rFonts w:ascii="宋体"/>
        </w:rPr>
      </w:pPr>
      <w:bookmarkStart w:id="3557" w:name="_Toc497235635"/>
      <w:r>
        <w:rPr>
          <w:rFonts w:ascii="宋体" w:hAnsi="宋体"/>
        </w:rPr>
        <w:t xml:space="preserve">9.1.4  </w:t>
      </w:r>
      <w:r>
        <w:rPr>
          <w:rFonts w:hint="eastAsia" w:ascii="宋体" w:hAnsi="宋体"/>
        </w:rPr>
        <w:t>监理人应在收到承包人报送的样品后</w:t>
      </w:r>
      <w:r>
        <w:rPr>
          <w:rFonts w:ascii="宋体" w:hAnsi="宋体"/>
        </w:rPr>
        <w:t>7</w:t>
      </w:r>
      <w:r>
        <w:rPr>
          <w:rFonts w:hint="eastAsia" w:ascii="宋体" w:hAnsi="宋体"/>
        </w:rPr>
        <w:t>天内转呈发包人并附上监理人的书面审批意见。发包人在收到通过监理人转交的样品以及监理人的审批意见后</w:t>
      </w:r>
      <w:r>
        <w:rPr>
          <w:rFonts w:ascii="宋体" w:hAnsi="宋体"/>
        </w:rPr>
        <w:t>7</w:t>
      </w:r>
      <w:r>
        <w:rPr>
          <w:rFonts w:hint="eastAsia" w:ascii="宋体" w:hAnsi="宋体"/>
        </w:rPr>
        <w:t>天内就此样品给出书面批复。监理人应在收到样品后</w:t>
      </w:r>
      <w:r>
        <w:rPr>
          <w:rFonts w:ascii="宋体" w:hAnsi="宋体"/>
        </w:rPr>
        <w:t>21</w:t>
      </w:r>
      <w:r>
        <w:rPr>
          <w:rFonts w:hint="eastAsia" w:ascii="宋体" w:hAnsi="宋体"/>
        </w:rPr>
        <w:t>天内通知承包人他相关样品所做出的决定或指示（同时抄送一份给发包人）。承包人应根据监理人的书面批复和指示相应地进行下一步工作。如果监理人未能在承包人报送样品后</w:t>
      </w:r>
      <w:r>
        <w:rPr>
          <w:rFonts w:ascii="宋体" w:hAnsi="宋体"/>
        </w:rPr>
        <w:t>21</w:t>
      </w:r>
      <w:r>
        <w:rPr>
          <w:rFonts w:hint="eastAsia" w:ascii="宋体" w:hAnsi="宋体"/>
        </w:rPr>
        <w:t>天内给出书面批复，承包人应就此通知监理人，要求尽快批复。如果发包人在收到此类通知后</w:t>
      </w:r>
      <w:r>
        <w:rPr>
          <w:rFonts w:ascii="宋体" w:hAnsi="宋体"/>
        </w:rPr>
        <w:t>7</w:t>
      </w:r>
      <w:r>
        <w:rPr>
          <w:rFonts w:hint="eastAsia" w:ascii="宋体" w:hAnsi="宋体"/>
        </w:rPr>
        <w:t>天内仍未对样品进行批复，则视为监理人和发包人已经批准。</w:t>
      </w:r>
      <w:bookmarkEnd w:id="3557"/>
    </w:p>
    <w:p>
      <w:pPr>
        <w:spacing w:line="360" w:lineRule="auto"/>
        <w:ind w:firstLine="630" w:firstLineChars="300"/>
        <w:outlineLvl w:val="3"/>
        <w:rPr>
          <w:rFonts w:ascii="宋体"/>
        </w:rPr>
      </w:pPr>
      <w:bookmarkStart w:id="3558" w:name="_Toc497235636"/>
      <w:r>
        <w:rPr>
          <w:rFonts w:ascii="宋体" w:hAnsi="宋体"/>
        </w:rPr>
        <w:t xml:space="preserve">9.1.5  </w:t>
      </w:r>
      <w:r>
        <w:rPr>
          <w:rFonts w:hint="eastAsia" w:ascii="宋体" w:hAnsi="宋体"/>
        </w:rPr>
        <w:t>得到批准后的样品由监理人负责存放。但承包人应为保存样品提供适当和固定的场所并保持适当和良好的环境条件。</w:t>
      </w:r>
      <w:bookmarkEnd w:id="3558"/>
    </w:p>
    <w:p>
      <w:pPr>
        <w:spacing w:line="360" w:lineRule="auto"/>
        <w:ind w:firstLine="630" w:firstLineChars="300"/>
        <w:outlineLvl w:val="3"/>
        <w:rPr>
          <w:rFonts w:ascii="宋体"/>
        </w:rPr>
      </w:pPr>
      <w:bookmarkStart w:id="3559" w:name="_Toc497235637"/>
      <w:r>
        <w:rPr>
          <w:rFonts w:ascii="宋体" w:hAnsi="宋体"/>
        </w:rPr>
        <w:t xml:space="preserve">9.1.6  </w:t>
      </w:r>
      <w:r>
        <w:rPr>
          <w:rFonts w:hint="eastAsia" w:ascii="宋体" w:hAnsi="宋体"/>
        </w:rPr>
        <w:t>提供样品和提供存放样品场所的费用由承包人承担。</w:t>
      </w:r>
      <w:bookmarkEnd w:id="3559"/>
    </w:p>
    <w:p>
      <w:pPr>
        <w:pStyle w:val="155"/>
        <w:spacing w:before="120" w:after="120"/>
      </w:pPr>
      <w:bookmarkStart w:id="3560" w:name="_Toc483580925"/>
      <w:bookmarkStart w:id="3561" w:name="_Toc486580238"/>
      <w:bookmarkStart w:id="3562" w:name="_Toc489280048"/>
      <w:bookmarkStart w:id="3563" w:name="_Toc117350607"/>
      <w:r>
        <w:t xml:space="preserve">9.2  </w:t>
      </w:r>
      <w:r>
        <w:rPr>
          <w:rFonts w:hint="eastAsia"/>
        </w:rPr>
        <w:t>材料代换</w:t>
      </w:r>
      <w:bookmarkEnd w:id="3560"/>
      <w:bookmarkEnd w:id="3561"/>
      <w:bookmarkEnd w:id="3562"/>
      <w:bookmarkEnd w:id="3563"/>
    </w:p>
    <w:p>
      <w:pPr>
        <w:spacing w:line="360" w:lineRule="auto"/>
        <w:ind w:firstLine="630" w:firstLineChars="300"/>
        <w:outlineLvl w:val="3"/>
        <w:rPr>
          <w:rFonts w:ascii="宋体"/>
        </w:rPr>
      </w:pPr>
      <w:bookmarkStart w:id="3564" w:name="_Toc497235639"/>
      <w:r>
        <w:rPr>
          <w:rFonts w:ascii="宋体" w:hAnsi="宋体"/>
        </w:rPr>
        <w:t xml:space="preserve">9.2.1  </w:t>
      </w:r>
      <w:r>
        <w:rPr>
          <w:rFonts w:hint="eastAsia" w:ascii="宋体" w:hAnsi="宋体"/>
        </w:rPr>
        <w:t>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bookmarkEnd w:id="3564"/>
    </w:p>
    <w:p>
      <w:pPr>
        <w:spacing w:line="360" w:lineRule="auto"/>
        <w:ind w:firstLine="630" w:firstLineChars="300"/>
        <w:outlineLvl w:val="3"/>
        <w:rPr>
          <w:rFonts w:ascii="宋体"/>
        </w:rPr>
      </w:pPr>
      <w:bookmarkStart w:id="3565" w:name="_Toc497235640"/>
      <w:r>
        <w:rPr>
          <w:rFonts w:ascii="宋体" w:hAnsi="宋体"/>
        </w:rPr>
        <w:t xml:space="preserve">9.2.2  </w:t>
      </w:r>
      <w:r>
        <w:rPr>
          <w:rFonts w:hint="eastAsia" w:ascii="宋体" w:hAnsi="宋体"/>
        </w:rPr>
        <w:t>如果使用替代品，承包人应至少在被替代品按批准的进度计划用于永久工程前</w:t>
      </w:r>
      <w:r>
        <w:rPr>
          <w:rFonts w:ascii="宋体" w:hAnsi="宋体"/>
        </w:rPr>
        <w:t>56</w:t>
      </w:r>
      <w:r>
        <w:rPr>
          <w:rFonts w:hint="eastAsia" w:ascii="宋体" w:hAnsi="宋体"/>
        </w:rPr>
        <w:t>天以书面形式通知监理人并随此通知提交下列文件：</w:t>
      </w:r>
      <w:bookmarkEnd w:id="3565"/>
    </w:p>
    <w:p>
      <w:pPr>
        <w:spacing w:line="360" w:lineRule="auto"/>
        <w:ind w:firstLine="630" w:firstLineChars="300"/>
        <w:outlineLvl w:val="3"/>
        <w:rPr>
          <w:rFonts w:ascii="宋体"/>
        </w:rPr>
      </w:pPr>
      <w:bookmarkStart w:id="3566" w:name="_Toc497235641"/>
      <w:r>
        <w:rPr>
          <w:rFonts w:hint="eastAsia" w:ascii="宋体" w:hAnsi="宋体"/>
        </w:rPr>
        <w:t>（</w:t>
      </w:r>
      <w:r>
        <w:rPr>
          <w:rFonts w:ascii="宋体" w:hAnsi="宋体"/>
        </w:rPr>
        <w:t>1</w:t>
      </w:r>
      <w:r>
        <w:rPr>
          <w:rFonts w:hint="eastAsia" w:ascii="宋体" w:hAnsi="宋体"/>
        </w:rPr>
        <w:t>）拟被替代的合同约定的材料和工程设备的名称、数量、规格、型号、品牌、性能、价格及其他任何详细资料；</w:t>
      </w:r>
      <w:bookmarkEnd w:id="3566"/>
    </w:p>
    <w:p>
      <w:pPr>
        <w:spacing w:line="360" w:lineRule="auto"/>
        <w:ind w:firstLine="630" w:firstLineChars="300"/>
        <w:outlineLvl w:val="3"/>
        <w:rPr>
          <w:rFonts w:ascii="宋体"/>
        </w:rPr>
      </w:pPr>
      <w:bookmarkStart w:id="3567" w:name="_Toc497235642"/>
      <w:r>
        <w:rPr>
          <w:rFonts w:hint="eastAsia" w:ascii="宋体" w:hAnsi="宋体"/>
        </w:rPr>
        <w:t>（</w:t>
      </w:r>
      <w:r>
        <w:rPr>
          <w:rFonts w:ascii="宋体" w:hAnsi="宋体"/>
        </w:rPr>
        <w:t>2</w:t>
      </w:r>
      <w:r>
        <w:rPr>
          <w:rFonts w:hint="eastAsia" w:ascii="宋体" w:hAnsi="宋体"/>
        </w:rPr>
        <w:t>）拟采用的替代品的名称、数量、规格、型号、品牌、性能、价格及其他任何必要的详细资料；</w:t>
      </w:r>
      <w:bookmarkEnd w:id="3567"/>
    </w:p>
    <w:p>
      <w:pPr>
        <w:spacing w:line="360" w:lineRule="auto"/>
        <w:ind w:firstLine="630" w:firstLineChars="300"/>
        <w:outlineLvl w:val="3"/>
        <w:rPr>
          <w:rFonts w:ascii="宋体"/>
        </w:rPr>
      </w:pPr>
      <w:bookmarkStart w:id="3568" w:name="_Toc497235643"/>
      <w:r>
        <w:rPr>
          <w:rFonts w:hint="eastAsia" w:ascii="宋体" w:hAnsi="宋体"/>
        </w:rPr>
        <w:t>（</w:t>
      </w:r>
      <w:r>
        <w:rPr>
          <w:rFonts w:ascii="宋体" w:hAnsi="宋体"/>
        </w:rPr>
        <w:t>3</w:t>
      </w:r>
      <w:r>
        <w:rPr>
          <w:rFonts w:hint="eastAsia" w:ascii="宋体" w:hAnsi="宋体"/>
        </w:rPr>
        <w:t>）替代品使用的工程部位；</w:t>
      </w:r>
      <w:bookmarkEnd w:id="3568"/>
    </w:p>
    <w:p>
      <w:pPr>
        <w:spacing w:line="360" w:lineRule="auto"/>
        <w:ind w:firstLine="630" w:firstLineChars="300"/>
        <w:outlineLvl w:val="3"/>
        <w:rPr>
          <w:rFonts w:ascii="宋体"/>
        </w:rPr>
      </w:pPr>
      <w:bookmarkStart w:id="3569" w:name="_Toc497235644"/>
      <w:r>
        <w:rPr>
          <w:rFonts w:hint="eastAsia" w:ascii="宋体" w:hAnsi="宋体"/>
        </w:rPr>
        <w:t>（</w:t>
      </w:r>
      <w:r>
        <w:rPr>
          <w:rFonts w:ascii="宋体" w:hAnsi="宋体"/>
        </w:rPr>
        <w:t>4</w:t>
      </w:r>
      <w:r>
        <w:rPr>
          <w:rFonts w:hint="eastAsia" w:ascii="宋体" w:hAnsi="宋体"/>
        </w:rPr>
        <w:t>）采用替代品的理由和原因说明；</w:t>
      </w:r>
      <w:bookmarkEnd w:id="3569"/>
    </w:p>
    <w:p>
      <w:pPr>
        <w:spacing w:line="360" w:lineRule="auto"/>
        <w:ind w:firstLine="630" w:firstLineChars="300"/>
        <w:outlineLvl w:val="3"/>
        <w:rPr>
          <w:rFonts w:ascii="宋体"/>
        </w:rPr>
      </w:pPr>
      <w:bookmarkStart w:id="3570" w:name="_Toc497235645"/>
      <w:r>
        <w:rPr>
          <w:rFonts w:hint="eastAsia" w:ascii="宋体" w:hAnsi="宋体"/>
        </w:rPr>
        <w:t>（</w:t>
      </w:r>
      <w:r>
        <w:rPr>
          <w:rFonts w:ascii="宋体" w:hAnsi="宋体"/>
        </w:rPr>
        <w:t>5</w:t>
      </w:r>
      <w:r>
        <w:rPr>
          <w:rFonts w:hint="eastAsia" w:ascii="宋体" w:hAnsi="宋体"/>
        </w:rPr>
        <w:t>）替代品与合同中约定的产品之间的差异以及使用替代品后可能对工程产生的任何影响；</w:t>
      </w:r>
      <w:bookmarkEnd w:id="3570"/>
    </w:p>
    <w:p>
      <w:pPr>
        <w:spacing w:line="360" w:lineRule="auto"/>
        <w:ind w:firstLine="630" w:firstLineChars="300"/>
        <w:outlineLvl w:val="3"/>
        <w:rPr>
          <w:rFonts w:ascii="宋体"/>
        </w:rPr>
      </w:pPr>
      <w:bookmarkStart w:id="3571" w:name="_Toc497235646"/>
      <w:r>
        <w:rPr>
          <w:rFonts w:hint="eastAsia" w:ascii="宋体" w:hAnsi="宋体"/>
        </w:rPr>
        <w:t>（</w:t>
      </w:r>
      <w:r>
        <w:rPr>
          <w:rFonts w:ascii="宋体" w:hAnsi="宋体"/>
        </w:rPr>
        <w:t>6</w:t>
      </w:r>
      <w:r>
        <w:rPr>
          <w:rFonts w:hint="eastAsia" w:ascii="宋体" w:hAnsi="宋体"/>
        </w:rPr>
        <w:t>）价格上的差异；</w:t>
      </w:r>
      <w:bookmarkEnd w:id="3571"/>
    </w:p>
    <w:p>
      <w:pPr>
        <w:spacing w:line="360" w:lineRule="auto"/>
        <w:ind w:firstLine="630" w:firstLineChars="300"/>
        <w:outlineLvl w:val="3"/>
        <w:rPr>
          <w:rFonts w:ascii="宋体"/>
        </w:rPr>
      </w:pPr>
      <w:bookmarkStart w:id="3572" w:name="_Toc497235647"/>
      <w:r>
        <w:rPr>
          <w:rFonts w:hint="eastAsia" w:ascii="宋体" w:hAnsi="宋体"/>
        </w:rPr>
        <w:t>（</w:t>
      </w:r>
      <w:r>
        <w:rPr>
          <w:rFonts w:ascii="宋体" w:hAnsi="宋体"/>
        </w:rPr>
        <w:t>7</w:t>
      </w:r>
      <w:r>
        <w:rPr>
          <w:rFonts w:hint="eastAsia" w:ascii="宋体" w:hAnsi="宋体"/>
        </w:rPr>
        <w:t>）监理人为做出适当的决定而随时要求承包人提供的任何其他文件。</w:t>
      </w:r>
      <w:bookmarkEnd w:id="3572"/>
    </w:p>
    <w:p>
      <w:pPr>
        <w:spacing w:line="360" w:lineRule="auto"/>
        <w:ind w:firstLine="630" w:firstLineChars="300"/>
        <w:outlineLvl w:val="3"/>
        <w:rPr>
          <w:rFonts w:ascii="宋体"/>
        </w:rPr>
      </w:pPr>
      <w:bookmarkStart w:id="3573" w:name="_Toc497235648"/>
      <w:r>
        <w:rPr>
          <w:rFonts w:hint="eastAsia" w:ascii="宋体" w:hAnsi="宋体"/>
        </w:rPr>
        <w:t>监理人在收到此类通知及上述文件后，应在</w:t>
      </w:r>
      <w:r>
        <w:rPr>
          <w:rFonts w:ascii="宋体" w:hAnsi="宋体"/>
        </w:rPr>
        <w:t>28</w:t>
      </w:r>
      <w:r>
        <w:rPr>
          <w:rFonts w:hint="eastAsia" w:ascii="宋体" w:hAnsi="宋体"/>
        </w:rPr>
        <w:t>天内向承包人给出书面指示。如果</w:t>
      </w:r>
      <w:r>
        <w:rPr>
          <w:rFonts w:ascii="宋体" w:hAnsi="宋体"/>
        </w:rPr>
        <w:t>28</w:t>
      </w:r>
      <w:r>
        <w:rPr>
          <w:rFonts w:hint="eastAsia" w:ascii="宋体" w:hAnsi="宋体"/>
        </w:rPr>
        <w:t>天内监理人未给出书面指示，应视为监理人和发包人已经批准使用上述替代品，承包人可以据此使用替代品。</w:t>
      </w:r>
      <w:bookmarkEnd w:id="3573"/>
    </w:p>
    <w:p>
      <w:pPr>
        <w:spacing w:line="360" w:lineRule="auto"/>
        <w:ind w:firstLine="630" w:firstLineChars="300"/>
        <w:outlineLvl w:val="3"/>
        <w:rPr>
          <w:rFonts w:ascii="宋体"/>
        </w:rPr>
      </w:pPr>
      <w:bookmarkStart w:id="3574" w:name="_Toc497235649"/>
      <w:r>
        <w:rPr>
          <w:rFonts w:ascii="宋体" w:hAnsi="宋体"/>
        </w:rPr>
        <w:t xml:space="preserve">9.2.3  </w:t>
      </w:r>
      <w:r>
        <w:rPr>
          <w:rFonts w:hint="eastAsia" w:ascii="宋体" w:hAnsi="宋体"/>
        </w:rPr>
        <w:t>任何情况下，替代品都应遵守本合同中对相关材料和工程设备的要求。</w:t>
      </w:r>
      <w:bookmarkEnd w:id="3574"/>
    </w:p>
    <w:p>
      <w:pPr>
        <w:spacing w:line="360" w:lineRule="auto"/>
        <w:ind w:firstLine="630" w:firstLineChars="300"/>
        <w:outlineLvl w:val="3"/>
        <w:rPr>
          <w:rFonts w:ascii="宋体"/>
        </w:rPr>
      </w:pPr>
      <w:bookmarkStart w:id="3575" w:name="_Toc497235650"/>
      <w:r>
        <w:rPr>
          <w:rFonts w:ascii="宋体" w:hAnsi="宋体"/>
        </w:rPr>
        <w:t xml:space="preserve">9.2.4  </w:t>
      </w:r>
      <w:r>
        <w:rPr>
          <w:rFonts w:hint="eastAsia" w:ascii="宋体" w:hAnsi="宋体"/>
        </w:rPr>
        <w:t>如果承包人根据本条约定使用了替代品，监理人应与承包人适当协商之后并在合理的期限内确定替代材料和工程设备与合同中约定的材料和工程设备之间的价值差值，并决定：</w:t>
      </w:r>
      <w:bookmarkEnd w:id="3575"/>
    </w:p>
    <w:p>
      <w:pPr>
        <w:spacing w:line="360" w:lineRule="auto"/>
        <w:ind w:firstLine="630" w:firstLineChars="300"/>
        <w:outlineLvl w:val="3"/>
        <w:rPr>
          <w:rFonts w:ascii="宋体"/>
        </w:rPr>
      </w:pPr>
      <w:bookmarkStart w:id="3576" w:name="_Toc497235651"/>
      <w:r>
        <w:rPr>
          <w:rFonts w:hint="eastAsia" w:ascii="宋体" w:hAnsi="宋体"/>
        </w:rPr>
        <w:t>（</w:t>
      </w:r>
      <w:r>
        <w:rPr>
          <w:rFonts w:ascii="宋体" w:hAnsi="宋体"/>
        </w:rPr>
        <w:t>1</w:t>
      </w:r>
      <w:r>
        <w:rPr>
          <w:rFonts w:hint="eastAsia" w:ascii="宋体" w:hAnsi="宋体"/>
        </w:rPr>
        <w:t>）如果替代材料和工程设备的价值高于合同中约定的材料和工程设备的价值，则将高出部分的价值追加到合同价格中并相应地通知承包人；</w:t>
      </w:r>
      <w:bookmarkEnd w:id="3576"/>
    </w:p>
    <w:p>
      <w:pPr>
        <w:spacing w:line="360" w:lineRule="auto"/>
        <w:ind w:firstLine="630" w:firstLineChars="300"/>
        <w:outlineLvl w:val="3"/>
        <w:rPr>
          <w:rFonts w:ascii="宋体"/>
        </w:rPr>
      </w:pPr>
      <w:bookmarkStart w:id="3577" w:name="_Toc497235652"/>
      <w:r>
        <w:rPr>
          <w:rFonts w:hint="eastAsia" w:ascii="宋体" w:hAnsi="宋体"/>
        </w:rPr>
        <w:t>（</w:t>
      </w:r>
      <w:r>
        <w:rPr>
          <w:rFonts w:ascii="宋体" w:hAnsi="宋体"/>
        </w:rPr>
        <w:t>2</w:t>
      </w:r>
      <w:r>
        <w:rPr>
          <w:rFonts w:hint="eastAsia" w:ascii="宋体" w:hAnsi="宋体"/>
        </w:rPr>
        <w:t>）如果替代材料和工程设备的价值低于合同中约定的材料和工程设备的价值，则将节余部分的价值从合同价格中扣除并相应地通知承包人。</w:t>
      </w:r>
      <w:bookmarkEnd w:id="3577"/>
    </w:p>
    <w:p>
      <w:pPr>
        <w:pStyle w:val="144"/>
        <w:spacing w:before="120" w:after="120"/>
      </w:pPr>
      <w:bookmarkStart w:id="3578" w:name="_Toc486580239"/>
      <w:bookmarkStart w:id="3579" w:name="_Toc483580926"/>
      <w:bookmarkStart w:id="3580" w:name="_Toc490222661"/>
      <w:bookmarkStart w:id="3581" w:name="_Toc489280049"/>
      <w:bookmarkStart w:id="3582" w:name="_Toc117350608"/>
      <w:r>
        <w:t>10.</w:t>
      </w:r>
      <w:r>
        <w:rPr>
          <w:rFonts w:hint="eastAsia"/>
        </w:rPr>
        <w:t>特殊技术标准和要求</w:t>
      </w:r>
      <w:bookmarkEnd w:id="3578"/>
      <w:bookmarkEnd w:id="3579"/>
      <w:bookmarkEnd w:id="3580"/>
      <w:bookmarkEnd w:id="3581"/>
      <w:bookmarkEnd w:id="3582"/>
    </w:p>
    <w:p>
      <w:pPr>
        <w:pStyle w:val="155"/>
        <w:spacing w:before="120" w:after="120"/>
      </w:pPr>
      <w:bookmarkStart w:id="3583" w:name="_Toc483580927"/>
      <w:bookmarkStart w:id="3584" w:name="_Toc489280050"/>
      <w:bookmarkStart w:id="3585" w:name="_Toc486580240"/>
      <w:bookmarkStart w:id="3586" w:name="_Toc117350609"/>
      <w:r>
        <w:t xml:space="preserve">10.1  </w:t>
      </w:r>
      <w:r>
        <w:rPr>
          <w:rFonts w:hint="eastAsia"/>
        </w:rPr>
        <w:t>部分材料和工程设备特殊技术要求</w:t>
      </w:r>
      <w:bookmarkEnd w:id="3583"/>
      <w:bookmarkEnd w:id="3584"/>
      <w:bookmarkEnd w:id="3585"/>
      <w:bookmarkEnd w:id="3586"/>
    </w:p>
    <w:p>
      <w:pPr>
        <w:spacing w:line="360" w:lineRule="auto"/>
        <w:ind w:firstLine="630" w:firstLineChars="300"/>
        <w:rPr>
          <w:rFonts w:ascii="黑体" w:hAnsi="黑体" w:eastAsia="黑体"/>
          <w:szCs w:val="21"/>
        </w:rPr>
      </w:pPr>
      <w:r>
        <w:rPr>
          <w:rFonts w:ascii="宋体" w:hAnsi="宋体"/>
          <w:szCs w:val="21"/>
        </w:rPr>
        <w:t xml:space="preserve">10.1.1  </w:t>
      </w:r>
      <w:r>
        <w:rPr>
          <w:rFonts w:hint="eastAsia" w:ascii="宋体" w:hAnsi="宋体" w:cs="Arial"/>
        </w:rPr>
        <w:t>发包人依据工程特点，可以对承包人自行施工范围内的部分材料和设备提出技术要求。材料和工程设备技术要求中如果出现了参考品牌或规格型号，其目的是为了方便承包人直观和准确地把握相应材料和工程设备的技术标准，不具有指定或唯一使用的意思表示，承包人应当参考所列品牌的材料和工程设备，采购相当于或高于所列品牌技术标准的材料和工程设备。</w:t>
      </w:r>
      <w:r>
        <w:rPr>
          <w:rFonts w:hint="eastAsia" w:ascii="宋体" w:hAnsi="宋体" w:cs="Arial"/>
          <w:szCs w:val="21"/>
        </w:rPr>
        <w:t>承包人自行施工范围内的部分材料和工程设备相关技术要求</w:t>
      </w:r>
      <w:r>
        <w:rPr>
          <w:rFonts w:hint="eastAsia" w:ascii="黑体" w:hAnsi="黑体" w:eastAsia="黑体"/>
          <w:szCs w:val="21"/>
        </w:rPr>
        <w:t>见技术标准和要求专用部分。</w:t>
      </w:r>
    </w:p>
    <w:p>
      <w:pPr>
        <w:spacing w:line="360" w:lineRule="auto"/>
        <w:ind w:firstLine="630" w:firstLineChars="300"/>
        <w:rPr>
          <w:rFonts w:ascii="黑体" w:hAnsi="黑体" w:eastAsia="黑体"/>
          <w:szCs w:val="21"/>
        </w:rPr>
      </w:pPr>
      <w:r>
        <w:rPr>
          <w:rFonts w:ascii="宋体" w:hAnsi="宋体"/>
          <w:szCs w:val="21"/>
        </w:rPr>
        <w:t xml:space="preserve">10.1.2  </w:t>
      </w:r>
      <w:r>
        <w:rPr>
          <w:rFonts w:hint="eastAsia" w:ascii="宋体" w:hAnsi="宋体"/>
          <w:szCs w:val="21"/>
        </w:rPr>
        <w:t>承包人自行施工范围内的材料和工程设备选型允许的偏离</w:t>
      </w:r>
      <w:r>
        <w:rPr>
          <w:rFonts w:hint="eastAsia" w:ascii="黑体" w:hAnsi="黑体" w:eastAsia="黑体"/>
          <w:szCs w:val="21"/>
        </w:rPr>
        <w:t>见技术标准和要求专用部分。</w:t>
      </w:r>
    </w:p>
    <w:p>
      <w:pPr>
        <w:spacing w:line="360" w:lineRule="auto"/>
        <w:ind w:firstLine="618" w:firstLineChars="300"/>
        <w:rPr>
          <w:rFonts w:ascii="宋体"/>
          <w:spacing w:val="-2"/>
          <w:szCs w:val="21"/>
        </w:rPr>
      </w:pPr>
      <w:r>
        <w:rPr>
          <w:rFonts w:ascii="宋体" w:hAnsi="宋体"/>
          <w:spacing w:val="-2"/>
          <w:szCs w:val="21"/>
        </w:rPr>
        <w:t xml:space="preserve">10.1.3  </w:t>
      </w:r>
      <w:r>
        <w:rPr>
          <w:rFonts w:hint="eastAsia" w:ascii="宋体" w:hAnsi="宋体"/>
          <w:spacing w:val="-2"/>
          <w:szCs w:val="21"/>
        </w:rPr>
        <w:t>本工程施工现场所用混凝土或砂浆的供应方式为</w:t>
      </w:r>
      <w:r>
        <w:rPr>
          <w:rFonts w:hint="eastAsia" w:ascii="黑体" w:hAnsi="黑体" w:eastAsia="黑体"/>
          <w:spacing w:val="-2"/>
          <w:szCs w:val="21"/>
        </w:rPr>
        <w:t>见技术标准和要求专用部分</w:t>
      </w:r>
      <w:r>
        <w:rPr>
          <w:rFonts w:hint="eastAsia" w:ascii="宋体" w:hAnsi="宋体"/>
          <w:spacing w:val="-2"/>
          <w:szCs w:val="21"/>
        </w:rPr>
        <w:t>。</w:t>
      </w:r>
    </w:p>
    <w:p>
      <w:pPr>
        <w:pStyle w:val="155"/>
        <w:spacing w:before="120" w:after="120"/>
      </w:pPr>
      <w:bookmarkStart w:id="3587" w:name="_Toc489280051"/>
      <w:bookmarkStart w:id="3588" w:name="_Toc483580928"/>
      <w:bookmarkStart w:id="3589" w:name="_Toc486580241"/>
      <w:bookmarkStart w:id="3590" w:name="_Toc117350610"/>
      <w:r>
        <w:t xml:space="preserve">10.2  </w:t>
      </w:r>
      <w:r>
        <w:rPr>
          <w:rFonts w:hint="eastAsia"/>
        </w:rPr>
        <w:t>进口材料和工程设备</w:t>
      </w:r>
      <w:bookmarkEnd w:id="3587"/>
      <w:bookmarkEnd w:id="3588"/>
      <w:bookmarkEnd w:id="3589"/>
      <w:bookmarkEnd w:id="3590"/>
    </w:p>
    <w:p>
      <w:pPr>
        <w:spacing w:line="360" w:lineRule="auto"/>
        <w:ind w:firstLine="630" w:firstLineChars="300"/>
        <w:rPr>
          <w:rFonts w:ascii="宋体"/>
          <w:szCs w:val="21"/>
        </w:rPr>
      </w:pPr>
      <w:r>
        <w:rPr>
          <w:rFonts w:ascii="宋体" w:hAnsi="宋体"/>
        </w:rPr>
        <w:t xml:space="preserve">10.2.1  </w:t>
      </w:r>
      <w:r>
        <w:rPr>
          <w:rFonts w:hint="eastAsia" w:ascii="宋体" w:hAnsi="宋体"/>
          <w:szCs w:val="21"/>
        </w:rPr>
        <w:t>本工程需要进口的材料和工程设备</w:t>
      </w:r>
      <w:r>
        <w:rPr>
          <w:rFonts w:hint="eastAsia" w:ascii="黑体" w:hAnsi="黑体" w:eastAsia="黑体"/>
          <w:szCs w:val="21"/>
        </w:rPr>
        <w:t>见技术标准和要求专用部分。</w:t>
      </w:r>
    </w:p>
    <w:p>
      <w:pPr>
        <w:spacing w:line="360" w:lineRule="auto"/>
        <w:ind w:firstLine="630" w:firstLineChars="300"/>
        <w:rPr>
          <w:rFonts w:ascii="宋体"/>
          <w:szCs w:val="21"/>
        </w:rPr>
      </w:pPr>
      <w:r>
        <w:rPr>
          <w:rFonts w:ascii="宋体" w:hAnsi="宋体"/>
          <w:szCs w:val="21"/>
        </w:rPr>
        <w:t xml:space="preserve">10.2.2  </w:t>
      </w:r>
      <w:r>
        <w:rPr>
          <w:rFonts w:hint="eastAsia" w:ascii="宋体" w:hAnsi="宋体"/>
          <w:szCs w:val="21"/>
        </w:rPr>
        <w:t>上述进口材料和工程设备采购、进口、报关、清关、商检、境内运输（包括保险）、保管的责任以及费用承担方式划分</w:t>
      </w:r>
      <w:r>
        <w:rPr>
          <w:rFonts w:hint="eastAsia" w:ascii="黑体" w:hAnsi="黑体" w:eastAsia="黑体"/>
          <w:szCs w:val="21"/>
        </w:rPr>
        <w:t>见技术标准和要求专用部分。</w:t>
      </w:r>
    </w:p>
    <w:p>
      <w:pPr>
        <w:pStyle w:val="155"/>
        <w:spacing w:before="120" w:after="120"/>
      </w:pPr>
      <w:bookmarkStart w:id="3591" w:name="_Toc483580929"/>
      <w:bookmarkStart w:id="3592" w:name="_Toc486580242"/>
      <w:bookmarkStart w:id="3593" w:name="_Toc489280052"/>
      <w:bookmarkStart w:id="3594" w:name="_Toc117350611"/>
      <w:r>
        <w:t xml:space="preserve">10.3  </w:t>
      </w:r>
      <w:r>
        <w:rPr>
          <w:rFonts w:hint="eastAsia"/>
        </w:rPr>
        <w:t>新技术、新工艺和新材料</w:t>
      </w:r>
      <w:bookmarkEnd w:id="3591"/>
      <w:bookmarkEnd w:id="3592"/>
      <w:bookmarkEnd w:id="3593"/>
      <w:bookmarkEnd w:id="3594"/>
    </w:p>
    <w:p>
      <w:pPr>
        <w:spacing w:line="360" w:lineRule="auto"/>
        <w:ind w:firstLine="436" w:firstLineChars="200"/>
        <w:rPr>
          <w:rFonts w:ascii="宋体"/>
          <w:spacing w:val="4"/>
          <w:szCs w:val="21"/>
        </w:rPr>
      </w:pPr>
      <w:r>
        <w:rPr>
          <w:rFonts w:hint="eastAsia" w:ascii="宋体" w:hAnsi="宋体"/>
          <w:spacing w:val="4"/>
          <w:szCs w:val="21"/>
        </w:rPr>
        <w:t>本市政府财政性资金及国有单位资金投资控股或占主导地位的建设工程，在技术指标符合设计要求及满足使用功能的前提下，承包人应当率先在指定工程部位选用建筑垃圾再生产品，其中市政、交通、园林、水务等市级工程，按照最新发布的《建筑垃圾废弃物再生产品主要种类及应用工程部位》要求，指定工程部位选择的建筑垃圾再生产品替代使用比例不得低于</w:t>
      </w:r>
      <w:r>
        <w:rPr>
          <w:rFonts w:ascii="宋体" w:hAnsi="宋体"/>
          <w:spacing w:val="4"/>
          <w:szCs w:val="21"/>
        </w:rPr>
        <w:t>10%</w:t>
      </w:r>
      <w:r>
        <w:rPr>
          <w:rFonts w:hint="eastAsia" w:ascii="宋体" w:hAnsi="宋体"/>
          <w:spacing w:val="4"/>
          <w:szCs w:val="21"/>
        </w:rPr>
        <w:t>。本工程涉及的新技术、新工艺和新材料及相应使用和操作说明</w:t>
      </w:r>
      <w:r>
        <w:rPr>
          <w:rFonts w:hint="eastAsia" w:ascii="黑体" w:hAnsi="黑体" w:eastAsia="黑体"/>
          <w:spacing w:val="4"/>
          <w:szCs w:val="21"/>
        </w:rPr>
        <w:t>见技术标准和要求专用部分</w:t>
      </w:r>
      <w:r>
        <w:rPr>
          <w:rFonts w:hint="eastAsia" w:ascii="宋体" w:hAnsi="宋体"/>
          <w:spacing w:val="4"/>
          <w:szCs w:val="21"/>
        </w:rPr>
        <w:t>。</w:t>
      </w:r>
    </w:p>
    <w:p>
      <w:pPr>
        <w:pStyle w:val="155"/>
        <w:spacing w:before="120" w:after="120"/>
      </w:pPr>
      <w:bookmarkStart w:id="3595" w:name="_Toc486580243"/>
      <w:bookmarkStart w:id="3596" w:name="_Toc483580930"/>
      <w:bookmarkStart w:id="3597" w:name="_Toc489280053"/>
      <w:bookmarkStart w:id="3598" w:name="_Toc117350612"/>
      <w:r>
        <w:t xml:space="preserve">10.4  </w:t>
      </w:r>
      <w:r>
        <w:rPr>
          <w:rFonts w:hint="eastAsia"/>
        </w:rPr>
        <w:t>其他特殊技术要求</w:t>
      </w:r>
      <w:bookmarkEnd w:id="3595"/>
      <w:bookmarkEnd w:id="3596"/>
      <w:bookmarkEnd w:id="3597"/>
      <w:bookmarkEnd w:id="3598"/>
    </w:p>
    <w:p>
      <w:pPr>
        <w:spacing w:line="360" w:lineRule="auto"/>
        <w:ind w:firstLine="420" w:firstLineChars="200"/>
        <w:rPr>
          <w:rFonts w:ascii="宋体"/>
          <w:szCs w:val="21"/>
        </w:rPr>
      </w:pPr>
      <w:r>
        <w:rPr>
          <w:rFonts w:hint="eastAsia" w:ascii="宋体" w:hAnsi="宋体"/>
          <w:szCs w:val="21"/>
        </w:rPr>
        <w:t>本工程的其他特殊技术要求</w:t>
      </w:r>
      <w:r>
        <w:rPr>
          <w:rFonts w:hint="eastAsia" w:ascii="黑体" w:hAnsi="黑体" w:eastAsia="黑体"/>
          <w:szCs w:val="21"/>
        </w:rPr>
        <w:t>见技术标准和要求专用部分</w:t>
      </w:r>
      <w:r>
        <w:rPr>
          <w:rFonts w:hint="eastAsia" w:ascii="宋体" w:hAnsi="宋体"/>
          <w:szCs w:val="21"/>
        </w:rPr>
        <w:t>。</w:t>
      </w:r>
    </w:p>
    <w:p>
      <w:pPr>
        <w:pStyle w:val="144"/>
        <w:spacing w:before="120" w:after="120"/>
      </w:pPr>
      <w:bookmarkStart w:id="3599" w:name="_Toc486580244"/>
      <w:bookmarkStart w:id="3600" w:name="_Toc483580931"/>
      <w:bookmarkStart w:id="3601" w:name="_Toc490222662"/>
      <w:bookmarkStart w:id="3602" w:name="_Toc489280054"/>
      <w:bookmarkStart w:id="3603" w:name="_Toc117350613"/>
      <w:r>
        <w:t>11.</w:t>
      </w:r>
      <w:r>
        <w:rPr>
          <w:rFonts w:hint="eastAsia"/>
        </w:rPr>
        <w:t>进度报告和进度例会</w:t>
      </w:r>
      <w:bookmarkEnd w:id="3599"/>
      <w:bookmarkEnd w:id="3600"/>
      <w:bookmarkEnd w:id="3601"/>
      <w:bookmarkEnd w:id="3602"/>
      <w:bookmarkEnd w:id="3603"/>
    </w:p>
    <w:p>
      <w:pPr>
        <w:pStyle w:val="155"/>
        <w:spacing w:before="120" w:after="120"/>
      </w:pPr>
      <w:bookmarkStart w:id="3604" w:name="_Toc489280055"/>
      <w:bookmarkStart w:id="3605" w:name="_Toc483580932"/>
      <w:bookmarkStart w:id="3606" w:name="_Toc486580245"/>
      <w:bookmarkStart w:id="3607" w:name="_Toc117350614"/>
      <w:r>
        <w:t xml:space="preserve">11.1  </w:t>
      </w:r>
      <w:r>
        <w:rPr>
          <w:rFonts w:hint="eastAsia"/>
        </w:rPr>
        <w:t>进度报告</w:t>
      </w:r>
      <w:bookmarkEnd w:id="3604"/>
      <w:bookmarkEnd w:id="3605"/>
      <w:bookmarkEnd w:id="3606"/>
      <w:bookmarkEnd w:id="3607"/>
    </w:p>
    <w:p>
      <w:pPr>
        <w:spacing w:line="360" w:lineRule="auto"/>
        <w:ind w:firstLine="630" w:firstLineChars="300"/>
        <w:outlineLvl w:val="3"/>
        <w:rPr>
          <w:rFonts w:ascii="宋体"/>
        </w:rPr>
      </w:pPr>
      <w:bookmarkStart w:id="3608" w:name="_Toc497235660"/>
      <w:r>
        <w:rPr>
          <w:rFonts w:ascii="宋体" w:hAnsi="宋体"/>
        </w:rPr>
        <w:t xml:space="preserve">11.1.1  </w:t>
      </w:r>
      <w:r>
        <w:rPr>
          <w:rFonts w:hint="eastAsia" w:ascii="宋体" w:hAnsi="宋体"/>
        </w:rPr>
        <w:t>施工过程中，承包人应向监理人代表呈递一份施工进度情况日进度报表、每周的周进度报表和每月的月进度报表。除非监理人同意，日进度报表应在次日上午九点前递交，周进度报表应在次周的周一上午九时前递交，月进度报表应随合同条款第</w:t>
      </w:r>
      <w:r>
        <w:rPr>
          <w:rFonts w:ascii="宋体" w:hAnsi="宋体"/>
        </w:rPr>
        <w:t>17.3.2</w:t>
      </w:r>
      <w:r>
        <w:rPr>
          <w:rFonts w:hint="eastAsia" w:ascii="宋体" w:hAnsi="宋体"/>
        </w:rPr>
        <w:t>项约定的进度付款申请单一并递交。</w:t>
      </w:r>
      <w:bookmarkEnd w:id="3608"/>
    </w:p>
    <w:p>
      <w:pPr>
        <w:spacing w:line="360" w:lineRule="auto"/>
        <w:ind w:firstLine="630" w:firstLineChars="300"/>
        <w:outlineLvl w:val="3"/>
        <w:rPr>
          <w:rFonts w:ascii="宋体"/>
        </w:rPr>
      </w:pPr>
      <w:bookmarkStart w:id="3609" w:name="_Hlk112836082"/>
      <w:bookmarkStart w:id="3610" w:name="_Toc497235661"/>
      <w:r>
        <w:rPr>
          <w:rFonts w:ascii="宋体" w:hAnsi="宋体"/>
        </w:rPr>
        <w:t xml:space="preserve">11.1.2  </w:t>
      </w:r>
      <w:bookmarkEnd w:id="3609"/>
      <w:r>
        <w:rPr>
          <w:rFonts w:hint="eastAsia" w:ascii="宋体" w:hAnsi="宋体"/>
        </w:rPr>
        <w:t>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w:t>
      </w:r>
      <w:bookmarkStart w:id="3611" w:name="_Hlk114657521"/>
      <w:r>
        <w:rPr>
          <w:rFonts w:hint="eastAsia" w:ascii="宋体" w:hAnsi="宋体"/>
        </w:rPr>
        <w:t>窝工、</w:t>
      </w:r>
      <w:bookmarkEnd w:id="3611"/>
      <w:r>
        <w:rPr>
          <w:rFonts w:hint="eastAsia" w:ascii="宋体" w:hAnsi="宋体"/>
        </w:rPr>
        <w:t>质量和安全事故等特别事项说明；此外，应附上每日进场材料、物品或设备的分类汇总表、用于次日或次周的工程进度计划等。</w:t>
      </w:r>
      <w:bookmarkEnd w:id="3610"/>
      <w:bookmarkStart w:id="3612" w:name="_Hlk114657527"/>
      <w:r>
        <w:rPr>
          <w:rFonts w:hint="eastAsia" w:ascii="宋体" w:hAnsi="宋体"/>
        </w:rPr>
        <w:t>如以日进度报表等作为进度管理同期记录的，可以辅以必要的影像资料，发承包双方应当根据相关影像资料，汇总形成周进度报表。</w:t>
      </w:r>
      <w:bookmarkEnd w:id="3612"/>
    </w:p>
    <w:p>
      <w:pPr>
        <w:spacing w:line="360" w:lineRule="auto"/>
        <w:ind w:firstLine="630" w:firstLineChars="300"/>
        <w:outlineLvl w:val="3"/>
        <w:rPr>
          <w:rFonts w:ascii="宋体"/>
        </w:rPr>
      </w:pPr>
      <w:bookmarkStart w:id="3613" w:name="_Toc497235662"/>
      <w:r>
        <w:rPr>
          <w:rFonts w:ascii="宋体" w:hAnsi="宋体"/>
        </w:rPr>
        <w:t xml:space="preserve">11.1.3  </w:t>
      </w:r>
      <w:r>
        <w:rPr>
          <w:rFonts w:hint="eastAsia" w:ascii="宋体" w:hAnsi="宋体"/>
        </w:rPr>
        <w:t>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bookmarkEnd w:id="3613"/>
    </w:p>
    <w:p>
      <w:pPr>
        <w:spacing w:line="360" w:lineRule="auto"/>
        <w:ind w:firstLine="630" w:firstLineChars="300"/>
        <w:outlineLvl w:val="3"/>
        <w:rPr>
          <w:rFonts w:ascii="宋体"/>
        </w:rPr>
      </w:pPr>
      <w:bookmarkStart w:id="3614" w:name="_Toc497235663"/>
      <w:r>
        <w:rPr>
          <w:rFonts w:ascii="宋体" w:hAnsi="宋体"/>
        </w:rPr>
        <w:t xml:space="preserve">11.1.4  </w:t>
      </w:r>
      <w:r>
        <w:rPr>
          <w:rFonts w:hint="eastAsia" w:ascii="宋体" w:hAnsi="宋体"/>
        </w:rPr>
        <w:t>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bookmarkEnd w:id="3614"/>
    </w:p>
    <w:p>
      <w:pPr>
        <w:spacing w:line="360" w:lineRule="auto"/>
        <w:ind w:firstLine="630" w:firstLineChars="300"/>
        <w:outlineLvl w:val="3"/>
        <w:rPr>
          <w:rFonts w:ascii="宋体"/>
        </w:rPr>
      </w:pPr>
      <w:bookmarkStart w:id="3615" w:name="_Toc497235664"/>
      <w:r>
        <w:rPr>
          <w:rFonts w:ascii="宋体" w:hAnsi="宋体"/>
        </w:rPr>
        <w:t xml:space="preserve">11.1.5  </w:t>
      </w:r>
      <w:r>
        <w:rPr>
          <w:rFonts w:hint="eastAsia" w:ascii="宋体" w:hAnsi="宋体"/>
        </w:rPr>
        <w:t>各个进度报表的格式和内容应经过监理人的审批</w:t>
      </w:r>
      <w:bookmarkStart w:id="3616" w:name="_Hlk114657539"/>
      <w:r>
        <w:rPr>
          <w:rFonts w:hint="eastAsia" w:ascii="宋体" w:hAnsi="宋体"/>
        </w:rPr>
        <w:t>，</w:t>
      </w:r>
      <w:bookmarkStart w:id="3617" w:name="_Hlk113554404"/>
      <w:bookmarkStart w:id="3618" w:name="_Hlk112836170"/>
      <w:r>
        <w:rPr>
          <w:rFonts w:hint="eastAsia" w:ascii="宋体" w:hAnsi="宋体"/>
        </w:rPr>
        <w:t>除技术标准和要求专用部分对签认另有要求外，</w:t>
      </w:r>
      <w:r>
        <w:rPr>
          <w:rFonts w:ascii="宋体" w:hAnsi="宋体"/>
        </w:rPr>
        <w:t>发包人和</w:t>
      </w:r>
      <w:r>
        <w:rPr>
          <w:rFonts w:hint="eastAsia" w:ascii="宋体" w:hAnsi="宋体"/>
        </w:rPr>
        <w:t>（或）</w:t>
      </w:r>
      <w:r>
        <w:rPr>
          <w:rFonts w:ascii="宋体" w:hAnsi="宋体"/>
        </w:rPr>
        <w:t>监理人</w:t>
      </w:r>
      <w:r>
        <w:rPr>
          <w:rFonts w:hint="eastAsia" w:ascii="宋体" w:hAnsi="宋体"/>
        </w:rPr>
        <w:t>应当在收到进度报表后</w:t>
      </w:r>
      <w:bookmarkEnd w:id="3617"/>
      <w:r>
        <w:rPr>
          <w:rFonts w:ascii="宋体" w:hAnsi="宋体"/>
        </w:rPr>
        <w:t>3</w:t>
      </w:r>
      <w:r>
        <w:rPr>
          <w:rFonts w:hint="eastAsia" w:ascii="宋体" w:hAnsi="宋体"/>
        </w:rPr>
        <w:t>个工作日内予以核实签认</w:t>
      </w:r>
      <w:bookmarkEnd w:id="3618"/>
      <w:r>
        <w:rPr>
          <w:rFonts w:hint="eastAsia" w:ascii="宋体" w:hAnsi="宋体"/>
        </w:rPr>
        <w:t>，逾期未签认的视同认可。</w:t>
      </w:r>
      <w:bookmarkEnd w:id="3616"/>
      <w:r>
        <w:rPr>
          <w:rFonts w:hint="eastAsia" w:ascii="宋体" w:hAnsi="宋体"/>
        </w:rPr>
        <w:t>进度报表应如实填写，由承包人授权代表签名，并报监理人的指定代表签名确认后再行分发。</w:t>
      </w:r>
      <w:bookmarkEnd w:id="3615"/>
    </w:p>
    <w:p>
      <w:pPr>
        <w:spacing w:line="360" w:lineRule="auto"/>
        <w:ind w:firstLine="630" w:firstLineChars="300"/>
        <w:outlineLvl w:val="3"/>
        <w:rPr>
          <w:rFonts w:ascii="宋体"/>
        </w:rPr>
      </w:pPr>
      <w:bookmarkStart w:id="3619" w:name="_Toc497235665"/>
      <w:r>
        <w:rPr>
          <w:rFonts w:ascii="宋体" w:hAnsi="宋体"/>
        </w:rPr>
        <w:t xml:space="preserve">11.1.6  </w:t>
      </w:r>
      <w:r>
        <w:rPr>
          <w:rFonts w:hint="eastAsia" w:ascii="宋体" w:hAnsi="宋体"/>
        </w:rPr>
        <w:t>如果监理人认为必要，进度报告和进度照片应同时以存储在磁盘或光盘中的数据文件的形式递交给发包人和监理人。数据文件采用的应用软件及其版本应经过监理人的审批。</w:t>
      </w:r>
      <w:bookmarkEnd w:id="3619"/>
    </w:p>
    <w:p>
      <w:pPr>
        <w:spacing w:line="360" w:lineRule="auto"/>
        <w:ind w:firstLine="630" w:firstLineChars="300"/>
        <w:outlineLvl w:val="3"/>
        <w:rPr>
          <w:rFonts w:ascii="宋体"/>
        </w:rPr>
      </w:pPr>
      <w:bookmarkStart w:id="3620" w:name="_Toc497235666"/>
      <w:r>
        <w:rPr>
          <w:rFonts w:ascii="宋体" w:hAnsi="宋体"/>
        </w:rPr>
        <w:t xml:space="preserve">11.1.7  </w:t>
      </w:r>
      <w:r>
        <w:rPr>
          <w:rFonts w:hint="eastAsia" w:ascii="宋体" w:hAnsi="宋体"/>
        </w:rPr>
        <w:t>有关进度报告的其他要求</w:t>
      </w:r>
      <w:r>
        <w:rPr>
          <w:rFonts w:hint="eastAsia" w:ascii="黑体" w:hAnsi="黑体" w:eastAsia="黑体"/>
        </w:rPr>
        <w:t>见技术标准和要求专用部分。</w:t>
      </w:r>
      <w:bookmarkEnd w:id="3620"/>
    </w:p>
    <w:p>
      <w:pPr>
        <w:pStyle w:val="155"/>
        <w:spacing w:before="120" w:after="120"/>
      </w:pPr>
      <w:bookmarkStart w:id="3621" w:name="_Toc483580933"/>
      <w:bookmarkStart w:id="3622" w:name="_Toc489280056"/>
      <w:bookmarkStart w:id="3623" w:name="_Toc486580246"/>
      <w:bookmarkStart w:id="3624" w:name="_Toc117350615"/>
      <w:r>
        <w:t xml:space="preserve">11.2  </w:t>
      </w:r>
      <w:r>
        <w:rPr>
          <w:rFonts w:hint="eastAsia"/>
        </w:rPr>
        <w:t>进度例会</w:t>
      </w:r>
      <w:bookmarkEnd w:id="3621"/>
      <w:bookmarkEnd w:id="3622"/>
      <w:bookmarkEnd w:id="3623"/>
      <w:bookmarkEnd w:id="3624"/>
    </w:p>
    <w:p>
      <w:pPr>
        <w:spacing w:line="360" w:lineRule="auto"/>
        <w:ind w:firstLine="630" w:firstLineChars="300"/>
        <w:outlineLvl w:val="3"/>
        <w:rPr>
          <w:rFonts w:ascii="宋体"/>
        </w:rPr>
      </w:pPr>
      <w:bookmarkStart w:id="3625" w:name="_Toc497235668"/>
      <w:r>
        <w:rPr>
          <w:rFonts w:ascii="宋体" w:hAnsi="宋体"/>
        </w:rPr>
        <w:t xml:space="preserve">11.2.1  </w:t>
      </w:r>
      <w:r>
        <w:rPr>
          <w:rFonts w:hint="eastAsia" w:ascii="宋体" w:hAnsi="宋体"/>
        </w:rPr>
        <w:t>监理人将主持召开有发包人、承包人、独立承包人和相关分包人等与本工程建设有关各方出席的每周一次的进度例会。必要时，监理人可随时召集所有上述各方或其中部分单位参加的会议。承包人应保证能代表其当场作出决定的高级管理人员出席会议。</w:t>
      </w:r>
      <w:bookmarkEnd w:id="3625"/>
    </w:p>
    <w:p>
      <w:pPr>
        <w:spacing w:line="360" w:lineRule="auto"/>
        <w:ind w:firstLine="630" w:firstLineChars="300"/>
        <w:outlineLvl w:val="3"/>
        <w:rPr>
          <w:rFonts w:ascii="宋体"/>
        </w:rPr>
      </w:pPr>
      <w:bookmarkStart w:id="3626" w:name="_Toc497235669"/>
      <w:r>
        <w:rPr>
          <w:rFonts w:ascii="宋体" w:hAnsi="宋体"/>
        </w:rPr>
        <w:t xml:space="preserve">11.2.2  </w:t>
      </w:r>
      <w:r>
        <w:rPr>
          <w:rFonts w:hint="eastAsia" w:ascii="宋体" w:hAnsi="宋体"/>
        </w:rPr>
        <w:t>进度例会的内容将涉及合同管理、进度协调和工程管理的各个方面，由监理人准备的会议议题将随会议通知在会议召开前至少</w:t>
      </w:r>
      <w:r>
        <w:rPr>
          <w:rFonts w:ascii="宋体" w:hAnsi="宋体"/>
        </w:rPr>
        <w:t>24</w:t>
      </w:r>
      <w:r>
        <w:rPr>
          <w:rFonts w:hint="eastAsia" w:ascii="宋体" w:hAnsi="宋体"/>
        </w:rPr>
        <w:t>小时发给各参会方。</w:t>
      </w:r>
      <w:bookmarkEnd w:id="3626"/>
    </w:p>
    <w:p>
      <w:pPr>
        <w:spacing w:line="360" w:lineRule="auto"/>
        <w:ind w:firstLine="630" w:firstLineChars="300"/>
        <w:outlineLvl w:val="3"/>
        <w:rPr>
          <w:rFonts w:ascii="宋体"/>
        </w:rPr>
      </w:pPr>
      <w:bookmarkStart w:id="3627" w:name="_Toc497235670"/>
      <w:r>
        <w:rPr>
          <w:rFonts w:ascii="宋体" w:hAnsi="宋体"/>
        </w:rPr>
        <w:t xml:space="preserve">11.2.3  </w:t>
      </w:r>
      <w:r>
        <w:rPr>
          <w:rFonts w:hint="eastAsia" w:ascii="宋体" w:hAnsi="宋体"/>
        </w:rPr>
        <w:t>监理人应当做好会议记录，并在会议结束时由与会各方签字确认。监理人应根据会议记录整理出会议纪要，并在相应会议后</w:t>
      </w:r>
      <w:r>
        <w:rPr>
          <w:rFonts w:ascii="宋体" w:hAnsi="宋体"/>
        </w:rPr>
        <w:t>24</w:t>
      </w:r>
      <w:r>
        <w:rPr>
          <w:rFonts w:hint="eastAsia" w:ascii="宋体" w:hAnsi="宋体"/>
        </w:rPr>
        <w:t>小时内分发给出席会议的各方。会议纪要应当如实反映会议记录的内容，包括任何决定、存在的问题、责任方、有关工作的时间目标等等。各方在收到会议纪要后</w:t>
      </w:r>
      <w:r>
        <w:rPr>
          <w:rFonts w:ascii="宋体" w:hAnsi="宋体"/>
        </w:rPr>
        <w:t>24</w:t>
      </w:r>
      <w:r>
        <w:rPr>
          <w:rFonts w:hint="eastAsia" w:ascii="宋体" w:hAnsi="宋体"/>
        </w:rPr>
        <w:t>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bookmarkEnd w:id="3627"/>
    </w:p>
    <w:p>
      <w:pPr>
        <w:spacing w:line="360" w:lineRule="auto"/>
        <w:ind w:firstLine="630" w:firstLineChars="300"/>
        <w:outlineLvl w:val="3"/>
        <w:rPr>
          <w:rFonts w:ascii="宋体"/>
        </w:rPr>
      </w:pPr>
      <w:bookmarkStart w:id="3628" w:name="_Toc497235671"/>
      <w:r>
        <w:rPr>
          <w:rFonts w:ascii="宋体" w:hAnsi="宋体"/>
        </w:rPr>
        <w:t xml:space="preserve">11.2.4  </w:t>
      </w:r>
      <w:r>
        <w:rPr>
          <w:rFonts w:hint="eastAsia" w:ascii="宋体" w:hAnsi="宋体"/>
        </w:rPr>
        <w:t>有关进度例会的其他要求</w:t>
      </w:r>
      <w:r>
        <w:rPr>
          <w:rFonts w:hint="eastAsia" w:ascii="黑体" w:hAnsi="黑体" w:eastAsia="黑体"/>
        </w:rPr>
        <w:t>见技术标准和要求专用部分。</w:t>
      </w:r>
      <w:bookmarkEnd w:id="3628"/>
    </w:p>
    <w:p>
      <w:pPr>
        <w:pStyle w:val="144"/>
        <w:spacing w:before="120" w:after="120"/>
      </w:pPr>
      <w:bookmarkStart w:id="3629" w:name="_Toc490222663"/>
      <w:bookmarkStart w:id="3630" w:name="_Toc489280057"/>
      <w:bookmarkStart w:id="3631" w:name="_Toc486580247"/>
      <w:bookmarkStart w:id="3632" w:name="_Toc483580934"/>
      <w:bookmarkStart w:id="3633" w:name="_Toc117350616"/>
      <w:r>
        <w:t>12.</w:t>
      </w:r>
      <w:r>
        <w:rPr>
          <w:rFonts w:hint="eastAsia"/>
        </w:rPr>
        <w:t>试验和检验</w:t>
      </w:r>
      <w:bookmarkEnd w:id="3629"/>
      <w:bookmarkEnd w:id="3630"/>
      <w:bookmarkEnd w:id="3631"/>
      <w:bookmarkEnd w:id="3632"/>
      <w:bookmarkEnd w:id="3633"/>
    </w:p>
    <w:p>
      <w:pPr>
        <w:spacing w:line="360" w:lineRule="auto"/>
        <w:ind w:firstLine="420" w:firstLineChars="200"/>
        <w:rPr>
          <w:rFonts w:ascii="宋体"/>
        </w:rPr>
      </w:pPr>
      <w:r>
        <w:rPr>
          <w:rFonts w:ascii="宋体" w:hAnsi="宋体"/>
        </w:rPr>
        <w:t xml:space="preserve">12.1  </w:t>
      </w:r>
      <w:r>
        <w:rPr>
          <w:rFonts w:hint="eastAsia" w:ascii="宋体" w:hAnsi="宋体"/>
        </w:rPr>
        <w:t>发包人委托具有相应资质的检测单位，按相关规定对见证取样的建筑材料、建筑构配件和设备、预拌混凝土、混凝土预制构件和工程实体质量、使用功能以及约定的其他检测内容进行检测。承包人应在监理人的监督下，进行现场取样、封样，并送检测单位进行检测。本工程发包人委托检测单位进行试验和检验的其他材料、工程设备和工艺</w:t>
      </w:r>
      <w:r>
        <w:rPr>
          <w:rFonts w:hint="eastAsia" w:ascii="黑体" w:hAnsi="黑体" w:eastAsia="黑体"/>
        </w:rPr>
        <w:t>见技术标准和要求专用部分。</w:t>
      </w:r>
    </w:p>
    <w:p>
      <w:pPr>
        <w:spacing w:line="360" w:lineRule="auto"/>
        <w:ind w:firstLine="420" w:firstLineChars="200"/>
        <w:rPr>
          <w:rFonts w:ascii="宋体"/>
        </w:rPr>
      </w:pPr>
      <w:r>
        <w:rPr>
          <w:rFonts w:ascii="宋体" w:hAnsi="宋体"/>
        </w:rPr>
        <w:t xml:space="preserve">12.2  </w:t>
      </w:r>
      <w:r>
        <w:rPr>
          <w:rFonts w:hint="eastAsia" w:ascii="宋体" w:hAnsi="宋体"/>
        </w:rPr>
        <w:t>除第</w:t>
      </w:r>
      <w:r>
        <w:rPr>
          <w:rFonts w:ascii="宋体" w:hAnsi="宋体"/>
        </w:rPr>
        <w:t>12.1</w:t>
      </w:r>
      <w:r>
        <w:rPr>
          <w:rFonts w:hint="eastAsia" w:ascii="宋体" w:hAnsi="宋体"/>
        </w:rPr>
        <w:t>款约定的由发包人委托检测内容外，承包人应当按照工程施工验收规范和标准的规定和合同条款第</w:t>
      </w:r>
      <w:r>
        <w:rPr>
          <w:rFonts w:ascii="宋体" w:hAnsi="宋体"/>
        </w:rPr>
        <w:t>14</w:t>
      </w:r>
      <w:r>
        <w:rPr>
          <w:rFonts w:hint="eastAsia" w:ascii="宋体" w:hAnsi="宋体"/>
        </w:rPr>
        <w:t>条的约定，对用于永久工程的主要材料、半成品、成品、建筑构配件、工程设备等进行试验和检验。监理人可以根据工程需要，指示承包人进行其他现场材料和工艺的试验和检验。</w:t>
      </w:r>
    </w:p>
    <w:p>
      <w:pPr>
        <w:spacing w:line="360" w:lineRule="auto"/>
        <w:ind w:firstLine="420" w:firstLineChars="200"/>
        <w:rPr>
          <w:rFonts w:ascii="黑体" w:hAnsi="黑体" w:eastAsia="黑体"/>
        </w:rPr>
      </w:pPr>
      <w:r>
        <w:rPr>
          <w:rFonts w:ascii="宋体" w:hAnsi="宋体"/>
        </w:rPr>
        <w:t xml:space="preserve">12.3  </w:t>
      </w:r>
      <w:r>
        <w:rPr>
          <w:rFonts w:hint="eastAsia" w:ascii="宋体" w:hAnsi="宋体"/>
        </w:rPr>
        <w:t>本工程需要承包人进行试验和检验的材料、工程设备和工艺</w:t>
      </w:r>
      <w:r>
        <w:rPr>
          <w:rFonts w:hint="eastAsia" w:ascii="黑体" w:hAnsi="黑体" w:eastAsia="黑体"/>
        </w:rPr>
        <w:t>见技术标准和要求专用部分。</w:t>
      </w:r>
    </w:p>
    <w:p>
      <w:pPr>
        <w:spacing w:line="360" w:lineRule="auto"/>
        <w:ind w:firstLine="420" w:firstLineChars="200"/>
        <w:rPr>
          <w:rFonts w:ascii="黑体" w:hAnsi="黑体" w:eastAsia="黑体"/>
        </w:rPr>
      </w:pPr>
      <w:r>
        <w:rPr>
          <w:rFonts w:ascii="宋体" w:hAnsi="宋体"/>
        </w:rPr>
        <w:t xml:space="preserve">12.4  </w:t>
      </w:r>
      <w:r>
        <w:rPr>
          <w:rFonts w:hint="eastAsia" w:ascii="宋体" w:hAnsi="宋体"/>
        </w:rPr>
        <w:t>本工程需要由监理人和承包人共同进行试验和检验的材料、工程设备和工艺</w:t>
      </w:r>
      <w:r>
        <w:rPr>
          <w:rFonts w:hint="eastAsia" w:ascii="黑体" w:hAnsi="黑体" w:eastAsia="黑体"/>
        </w:rPr>
        <w:t>见技术标准和要求专用部分。</w:t>
      </w:r>
    </w:p>
    <w:p>
      <w:pPr>
        <w:spacing w:line="360" w:lineRule="auto"/>
        <w:ind w:firstLine="420" w:firstLineChars="200"/>
        <w:rPr>
          <w:rFonts w:ascii="宋体"/>
        </w:rPr>
      </w:pPr>
      <w:r>
        <w:rPr>
          <w:rFonts w:ascii="宋体" w:hAnsi="宋体"/>
        </w:rPr>
        <w:t xml:space="preserve">12.5  </w:t>
      </w:r>
      <w:r>
        <w:rPr>
          <w:rFonts w:hint="eastAsia" w:ascii="宋体" w:hAnsi="宋体"/>
        </w:rPr>
        <w:t>本条上述约定需要进行检验的材料、工程设备和工艺在经过检验并获得监理人批准以前，不得用于任何永久工程。</w:t>
      </w:r>
    </w:p>
    <w:p>
      <w:pPr>
        <w:spacing w:line="360" w:lineRule="auto"/>
        <w:ind w:firstLine="420" w:firstLineChars="200"/>
        <w:rPr>
          <w:rFonts w:ascii="宋体"/>
        </w:rPr>
      </w:pPr>
      <w:r>
        <w:rPr>
          <w:rFonts w:ascii="宋体" w:hAnsi="宋体"/>
        </w:rPr>
        <w:t xml:space="preserve">12.6  </w:t>
      </w:r>
      <w:r>
        <w:rPr>
          <w:rFonts w:hint="eastAsia" w:ascii="宋体" w:hAnsi="宋体"/>
        </w:rPr>
        <w:t>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pPr>
        <w:spacing w:line="360" w:lineRule="auto"/>
        <w:ind w:firstLine="420" w:firstLineChars="200"/>
        <w:rPr>
          <w:rFonts w:ascii="宋体"/>
        </w:rPr>
      </w:pPr>
      <w:r>
        <w:rPr>
          <w:rFonts w:ascii="宋体" w:hAnsi="宋体"/>
        </w:rPr>
        <w:t xml:space="preserve">12.7  </w:t>
      </w:r>
      <w:r>
        <w:rPr>
          <w:rFonts w:hint="eastAsia" w:ascii="宋体" w:hAnsi="宋体"/>
        </w:rPr>
        <w:t>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pPr>
        <w:spacing w:line="360" w:lineRule="auto"/>
        <w:ind w:firstLine="420" w:firstLineChars="200"/>
        <w:rPr>
          <w:rFonts w:ascii="黑体" w:hAnsi="黑体" w:eastAsia="黑体"/>
        </w:rPr>
      </w:pPr>
      <w:r>
        <w:rPr>
          <w:rFonts w:ascii="宋体" w:hAnsi="宋体"/>
        </w:rPr>
        <w:t xml:space="preserve">12.8  </w:t>
      </w:r>
      <w:r>
        <w:rPr>
          <w:rFonts w:hint="eastAsia" w:ascii="宋体" w:hAnsi="宋体"/>
        </w:rPr>
        <w:t>承包人应在监理人的监督下，对涉及结构安全的试块、试件以及有关材料进行现场取样，并送质量检测单位进行检测。质量检测单位</w:t>
      </w:r>
      <w:r>
        <w:rPr>
          <w:rFonts w:hint="eastAsia" w:ascii="黑体" w:hAnsi="黑体" w:eastAsia="黑体"/>
        </w:rPr>
        <w:t>见技术标准和要求专用部分。</w:t>
      </w:r>
    </w:p>
    <w:p>
      <w:pPr>
        <w:spacing w:line="360" w:lineRule="auto"/>
        <w:ind w:firstLine="420" w:firstLineChars="200"/>
        <w:rPr>
          <w:rFonts w:ascii="宋体"/>
        </w:rPr>
      </w:pPr>
      <w:r>
        <w:rPr>
          <w:rFonts w:ascii="宋体" w:hAnsi="宋体"/>
        </w:rPr>
        <w:t xml:space="preserve">12.9  </w:t>
      </w:r>
      <w:r>
        <w:rPr>
          <w:rFonts w:hint="eastAsia" w:ascii="宋体" w:hAnsi="宋体"/>
        </w:rPr>
        <w:t>除合同另有约定外，承包人应负担除第</w:t>
      </w:r>
      <w:r>
        <w:rPr>
          <w:rFonts w:ascii="宋体" w:hAnsi="宋体"/>
        </w:rPr>
        <w:t>12.1</w:t>
      </w:r>
      <w:r>
        <w:rPr>
          <w:rFonts w:hint="eastAsia" w:ascii="宋体" w:hAnsi="宋体"/>
        </w:rPr>
        <w:t>款发包人支付给委托检测单位的费用外，本合同项下的所有材料、工程设备和工艺检验的费用。</w:t>
      </w:r>
    </w:p>
    <w:p>
      <w:pPr>
        <w:pStyle w:val="144"/>
        <w:spacing w:before="120" w:after="120"/>
      </w:pPr>
      <w:bookmarkStart w:id="3634" w:name="_Toc483580935"/>
      <w:bookmarkStart w:id="3635" w:name="_Toc490222664"/>
      <w:bookmarkStart w:id="3636" w:name="_Toc486580248"/>
      <w:bookmarkStart w:id="3637" w:name="_Toc489280058"/>
      <w:bookmarkStart w:id="3638" w:name="_Toc117350617"/>
      <w:r>
        <w:t>13.</w:t>
      </w:r>
      <w:r>
        <w:rPr>
          <w:rFonts w:hint="eastAsia"/>
        </w:rPr>
        <w:t>计日工</w:t>
      </w:r>
      <w:bookmarkEnd w:id="3634"/>
      <w:bookmarkEnd w:id="3635"/>
      <w:bookmarkEnd w:id="3636"/>
      <w:bookmarkEnd w:id="3637"/>
      <w:bookmarkEnd w:id="3638"/>
    </w:p>
    <w:p>
      <w:pPr>
        <w:spacing w:line="360" w:lineRule="auto"/>
        <w:ind w:firstLine="420" w:firstLineChars="200"/>
        <w:rPr>
          <w:rFonts w:ascii="宋体"/>
        </w:rPr>
      </w:pPr>
      <w:r>
        <w:rPr>
          <w:rFonts w:ascii="宋体" w:hAnsi="宋体"/>
        </w:rPr>
        <w:t xml:space="preserve">13.1  </w:t>
      </w:r>
      <w:r>
        <w:rPr>
          <w:rFonts w:hint="eastAsia" w:ascii="宋体" w:hAnsi="宋体"/>
        </w:rPr>
        <w:t>合同条款第</w:t>
      </w:r>
      <w:r>
        <w:rPr>
          <w:rFonts w:ascii="宋体" w:hAnsi="宋体"/>
        </w:rPr>
        <w:t>15.7</w:t>
      </w:r>
      <w:r>
        <w:rPr>
          <w:rFonts w:hint="eastAsia" w:ascii="宋体" w:hAnsi="宋体"/>
        </w:rPr>
        <w:t>款约定的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监理人按合同条款第</w:t>
      </w:r>
      <w:r>
        <w:rPr>
          <w:rFonts w:ascii="宋体" w:hAnsi="宋体"/>
        </w:rPr>
        <w:t>15.7.1</w:t>
      </w:r>
      <w:r>
        <w:rPr>
          <w:rFonts w:hint="eastAsia" w:ascii="宋体" w:hAnsi="宋体"/>
        </w:rPr>
        <w:t>项约定通知承包人实施。</w:t>
      </w:r>
    </w:p>
    <w:p>
      <w:pPr>
        <w:spacing w:line="360" w:lineRule="auto"/>
        <w:ind w:firstLine="420" w:firstLineChars="200"/>
        <w:rPr>
          <w:rFonts w:ascii="宋体"/>
        </w:rPr>
      </w:pPr>
      <w:r>
        <w:rPr>
          <w:rFonts w:ascii="宋体" w:hAnsi="宋体"/>
        </w:rPr>
        <w:t xml:space="preserve">13.2  </w:t>
      </w:r>
      <w:r>
        <w:rPr>
          <w:rFonts w:hint="eastAsia" w:ascii="宋体" w:hAnsi="宋体"/>
        </w:rPr>
        <w:t>在工程实际开工后</w:t>
      </w:r>
      <w:r>
        <w:rPr>
          <w:rFonts w:ascii="宋体" w:hAnsi="宋体"/>
        </w:rPr>
        <w:t>14</w:t>
      </w:r>
      <w:r>
        <w:rPr>
          <w:rFonts w:hint="eastAsia" w:ascii="宋体" w:hAnsi="宋体"/>
        </w:rPr>
        <w:t>天内，承包人应当按合同条款第</w:t>
      </w:r>
      <w:r>
        <w:rPr>
          <w:rFonts w:ascii="宋体" w:hAnsi="宋体"/>
        </w:rPr>
        <w:t>15.7.2</w:t>
      </w:r>
      <w:r>
        <w:rPr>
          <w:rFonts w:hint="eastAsia" w:ascii="宋体" w:hAnsi="宋体"/>
        </w:rPr>
        <w:t>项约定的计日工报表内容，准备一份计日工日报表的格式，报送监理人审批，监理人应当在收到之日后</w:t>
      </w:r>
      <w:r>
        <w:rPr>
          <w:rFonts w:ascii="宋体" w:hAnsi="宋体"/>
        </w:rPr>
        <w:t>7</w:t>
      </w:r>
      <w:r>
        <w:rPr>
          <w:rFonts w:hint="eastAsia" w:ascii="宋体" w:hAnsi="宋体"/>
        </w:rPr>
        <w:t>天内给予批复或提出修改意见。</w:t>
      </w:r>
    </w:p>
    <w:p>
      <w:pPr>
        <w:spacing w:line="360" w:lineRule="auto"/>
        <w:ind w:firstLine="420" w:firstLineChars="200"/>
        <w:rPr>
          <w:rFonts w:ascii="宋体"/>
        </w:rPr>
      </w:pPr>
      <w:r>
        <w:rPr>
          <w:rFonts w:ascii="宋体" w:hAnsi="宋体"/>
        </w:rPr>
        <w:t xml:space="preserve">13.3  </w:t>
      </w:r>
      <w:r>
        <w:rPr>
          <w:rFonts w:hint="eastAsia" w:ascii="宋体" w:hAnsi="宋体"/>
        </w:rPr>
        <w:t>按计日工实施相关变更的过程中，承包人应当按经监理人批准的计日工日报表格式，每天提交计日工报表和有关凭证，报送监理人审批，监理人应当在收到相关报表和凭证后</w:t>
      </w:r>
      <w:r>
        <w:rPr>
          <w:rFonts w:ascii="宋体" w:hAnsi="宋体"/>
        </w:rPr>
        <w:t>24</w:t>
      </w:r>
      <w:r>
        <w:rPr>
          <w:rFonts w:hint="eastAsia" w:ascii="宋体" w:hAnsi="宋体"/>
        </w:rPr>
        <w:t>小时内给予批复。</w:t>
      </w:r>
    </w:p>
    <w:p>
      <w:pPr>
        <w:spacing w:line="360" w:lineRule="auto"/>
        <w:ind w:firstLine="420" w:firstLineChars="200"/>
        <w:rPr>
          <w:rFonts w:ascii="宋体"/>
        </w:rPr>
      </w:pPr>
      <w:r>
        <w:rPr>
          <w:rFonts w:ascii="宋体" w:hAnsi="宋体"/>
        </w:rPr>
        <w:t xml:space="preserve">13.4  </w:t>
      </w:r>
      <w:r>
        <w:rPr>
          <w:rFonts w:hint="eastAsia" w:ascii="宋体" w:hAnsi="宋体"/>
        </w:rPr>
        <w:t>计日工劳务按工日（</w:t>
      </w:r>
      <w:r>
        <w:rPr>
          <w:rFonts w:ascii="宋体" w:hAnsi="宋体"/>
        </w:rPr>
        <w:t>8</w:t>
      </w:r>
      <w:r>
        <w:rPr>
          <w:rFonts w:hint="eastAsia" w:ascii="宋体" w:hAnsi="宋体"/>
        </w:rPr>
        <w:t>小时）计量，单次</w:t>
      </w:r>
      <w:r>
        <w:rPr>
          <w:rFonts w:ascii="宋体" w:hAnsi="宋体"/>
        </w:rPr>
        <w:t>4</w:t>
      </w:r>
      <w:r>
        <w:rPr>
          <w:rFonts w:hint="eastAsia" w:ascii="宋体" w:hAnsi="宋体"/>
        </w:rPr>
        <w:t>小时以内按</w:t>
      </w:r>
      <w:r>
        <w:rPr>
          <w:rFonts w:ascii="宋体" w:hAnsi="宋体"/>
        </w:rPr>
        <w:t>0.5</w:t>
      </w:r>
      <w:r>
        <w:rPr>
          <w:rFonts w:hint="eastAsia" w:ascii="宋体" w:hAnsi="宋体"/>
        </w:rPr>
        <w:t>个工日，单次</w:t>
      </w:r>
      <w:r>
        <w:rPr>
          <w:rFonts w:ascii="宋体" w:hAnsi="宋体"/>
        </w:rPr>
        <w:t>4</w:t>
      </w:r>
      <w:r>
        <w:rPr>
          <w:rFonts w:hint="eastAsia" w:ascii="宋体" w:hAnsi="宋体"/>
        </w:rPr>
        <w:t>小时至</w:t>
      </w:r>
      <w:r>
        <w:rPr>
          <w:rFonts w:ascii="宋体" w:hAnsi="宋体"/>
        </w:rPr>
        <w:t>8</w:t>
      </w:r>
      <w:r>
        <w:rPr>
          <w:rFonts w:hint="eastAsia" w:ascii="宋体" w:hAnsi="宋体"/>
        </w:rPr>
        <w:t>小时按</w:t>
      </w:r>
      <w:r>
        <w:rPr>
          <w:rFonts w:ascii="宋体" w:hAnsi="宋体"/>
        </w:rPr>
        <w:t>1</w:t>
      </w:r>
      <w:r>
        <w:rPr>
          <w:rFonts w:hint="eastAsia" w:ascii="宋体" w:hAnsi="宋体"/>
        </w:rPr>
        <w:t>个工日，加班时间按照国家劳动法律法规的规定办理。实施计日工的劳务人员仅应包括直接从事计日工工作的工人和班组长（如果有），不应包括工长及其以上管理人员。</w:t>
      </w:r>
    </w:p>
    <w:p>
      <w:pPr>
        <w:spacing w:line="360" w:lineRule="auto"/>
        <w:ind w:firstLine="420" w:firstLineChars="200"/>
        <w:rPr>
          <w:rFonts w:ascii="宋体"/>
        </w:rPr>
      </w:pPr>
      <w:r>
        <w:rPr>
          <w:rFonts w:ascii="宋体" w:hAnsi="宋体"/>
        </w:rPr>
        <w:t xml:space="preserve">13.5  </w:t>
      </w:r>
      <w:r>
        <w:rPr>
          <w:rFonts w:hint="eastAsia" w:ascii="宋体" w:hAnsi="宋体"/>
        </w:rPr>
        <w:t>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规费在内的一个固定百分比，税金另计。</w:t>
      </w:r>
    </w:p>
    <w:p>
      <w:pPr>
        <w:spacing w:line="360" w:lineRule="auto"/>
        <w:ind w:firstLine="420" w:firstLineChars="200"/>
        <w:rPr>
          <w:rFonts w:ascii="宋体"/>
        </w:rPr>
      </w:pPr>
      <w:r>
        <w:rPr>
          <w:rFonts w:ascii="宋体" w:hAnsi="宋体"/>
        </w:rPr>
        <w:t xml:space="preserve">13.6  </w:t>
      </w:r>
      <w:r>
        <w:rPr>
          <w:rFonts w:hint="eastAsia" w:ascii="宋体" w:hAnsi="宋体"/>
        </w:rPr>
        <w:t>施工机械按台班计量（</w:t>
      </w:r>
      <w:r>
        <w:rPr>
          <w:rFonts w:ascii="宋体" w:hAnsi="宋体"/>
        </w:rPr>
        <w:t>8</w:t>
      </w:r>
      <w:r>
        <w:rPr>
          <w:rFonts w:hint="eastAsia" w:ascii="宋体" w:hAnsi="宋体"/>
        </w:rPr>
        <w:t>小时），单次</w:t>
      </w:r>
      <w:r>
        <w:rPr>
          <w:rFonts w:ascii="宋体" w:hAnsi="宋体"/>
        </w:rPr>
        <w:t>4</w:t>
      </w:r>
      <w:r>
        <w:rPr>
          <w:rFonts w:hint="eastAsia" w:ascii="宋体" w:hAnsi="宋体"/>
        </w:rPr>
        <w:t>小时以内按</w:t>
      </w:r>
      <w:r>
        <w:rPr>
          <w:rFonts w:ascii="宋体" w:hAnsi="宋体"/>
        </w:rPr>
        <w:t>0.5</w:t>
      </w:r>
      <w:r>
        <w:rPr>
          <w:rFonts w:hint="eastAsia" w:ascii="宋体" w:hAnsi="宋体"/>
        </w:rPr>
        <w:t>个台班，单次</w:t>
      </w:r>
      <w:r>
        <w:rPr>
          <w:rFonts w:ascii="宋体" w:hAnsi="宋体"/>
        </w:rPr>
        <w:t>4</w:t>
      </w:r>
      <w:r>
        <w:rPr>
          <w:rFonts w:hint="eastAsia" w:ascii="宋体" w:hAnsi="宋体"/>
        </w:rPr>
        <w:t>小时至</w:t>
      </w:r>
      <w:r>
        <w:rPr>
          <w:rFonts w:ascii="宋体" w:hAnsi="宋体"/>
        </w:rPr>
        <w:t>8</w:t>
      </w:r>
      <w:r>
        <w:rPr>
          <w:rFonts w:hint="eastAsia" w:ascii="宋体" w:hAnsi="宋体"/>
        </w:rPr>
        <w:t>小时按</w:t>
      </w:r>
      <w:r>
        <w:rPr>
          <w:rFonts w:ascii="宋体" w:hAnsi="宋体"/>
        </w:rPr>
        <w:t>1</w:t>
      </w:r>
      <w:r>
        <w:rPr>
          <w:rFonts w:hint="eastAsia" w:ascii="宋体" w:hAnsi="宋体"/>
        </w:rPr>
        <w:t>个台班，操作人员加班时间按照国家劳动法律法规的规定办理。计日工如果需要使用场外施工机械，台班费用和进出场费用按市场平均价格，由承包人事后报监理人审批。</w:t>
      </w:r>
    </w:p>
    <w:p>
      <w:pPr>
        <w:spacing w:line="360" w:lineRule="auto"/>
        <w:ind w:firstLine="420" w:firstLineChars="200"/>
        <w:rPr>
          <w:rFonts w:ascii="宋体"/>
        </w:rPr>
      </w:pPr>
      <w:r>
        <w:rPr>
          <w:rFonts w:ascii="宋体" w:hAnsi="宋体"/>
        </w:rPr>
        <w:t xml:space="preserve">13.7  </w:t>
      </w:r>
      <w:r>
        <w:rPr>
          <w:rFonts w:hint="eastAsia" w:ascii="宋体" w:hAnsi="宋体"/>
        </w:rPr>
        <w:t>关于计日工的其他约定</w:t>
      </w:r>
      <w:r>
        <w:rPr>
          <w:rFonts w:hint="eastAsia" w:ascii="黑体" w:hAnsi="黑体" w:eastAsia="黑体"/>
        </w:rPr>
        <w:t>见技术标准和要求专用部分。</w:t>
      </w:r>
    </w:p>
    <w:p>
      <w:pPr>
        <w:pStyle w:val="144"/>
        <w:spacing w:before="120" w:after="120"/>
      </w:pPr>
      <w:bookmarkStart w:id="3639" w:name="_Toc486580249"/>
      <w:bookmarkStart w:id="3640" w:name="_Toc490222665"/>
      <w:bookmarkStart w:id="3641" w:name="_Toc489280059"/>
      <w:bookmarkStart w:id="3642" w:name="_Toc483580936"/>
      <w:bookmarkStart w:id="3643" w:name="_Toc117350618"/>
      <w:r>
        <w:t>14.</w:t>
      </w:r>
      <w:r>
        <w:rPr>
          <w:rFonts w:hint="eastAsia"/>
        </w:rPr>
        <w:t>计量与支付</w:t>
      </w:r>
      <w:bookmarkEnd w:id="3639"/>
      <w:bookmarkEnd w:id="3640"/>
      <w:bookmarkEnd w:id="3641"/>
      <w:bookmarkEnd w:id="3642"/>
      <w:bookmarkEnd w:id="3643"/>
    </w:p>
    <w:p>
      <w:pPr>
        <w:pStyle w:val="155"/>
        <w:spacing w:before="120" w:after="120"/>
      </w:pPr>
      <w:bookmarkStart w:id="3644" w:name="_Toc489280060"/>
      <w:bookmarkStart w:id="3645" w:name="_Toc486580250"/>
      <w:bookmarkStart w:id="3646" w:name="_Toc483580937"/>
      <w:bookmarkStart w:id="3647" w:name="_Toc117350619"/>
      <w:r>
        <w:t xml:space="preserve">14.1  </w:t>
      </w:r>
      <w:r>
        <w:rPr>
          <w:rFonts w:hint="eastAsia"/>
        </w:rPr>
        <w:t>付款申请单</w:t>
      </w:r>
      <w:bookmarkEnd w:id="3644"/>
      <w:bookmarkEnd w:id="3645"/>
      <w:bookmarkEnd w:id="3646"/>
      <w:bookmarkEnd w:id="3647"/>
    </w:p>
    <w:p>
      <w:pPr>
        <w:spacing w:line="360" w:lineRule="auto"/>
        <w:ind w:firstLine="630" w:firstLineChars="300"/>
        <w:outlineLvl w:val="3"/>
        <w:rPr>
          <w:rFonts w:ascii="宋体"/>
        </w:rPr>
      </w:pPr>
      <w:bookmarkStart w:id="3648" w:name="_Toc497235676"/>
      <w:r>
        <w:rPr>
          <w:rFonts w:ascii="宋体" w:hAnsi="宋体"/>
        </w:rPr>
        <w:t xml:space="preserve">14.1.1  </w:t>
      </w:r>
      <w:r>
        <w:rPr>
          <w:rFonts w:hint="eastAsia" w:ascii="宋体" w:hAnsi="宋体"/>
        </w:rPr>
        <w:t>在工程实际开工后</w:t>
      </w:r>
      <w:r>
        <w:rPr>
          <w:rFonts w:ascii="宋体" w:hAnsi="宋体"/>
        </w:rPr>
        <w:t>14</w:t>
      </w:r>
      <w:r>
        <w:rPr>
          <w:rFonts w:hint="eastAsia" w:ascii="宋体" w:hAnsi="宋体"/>
        </w:rPr>
        <w:t>天内，承包人应当按照合同条款第</w:t>
      </w:r>
      <w:r>
        <w:rPr>
          <w:rFonts w:ascii="宋体" w:hAnsi="宋体"/>
        </w:rPr>
        <w:t>17</w:t>
      </w:r>
      <w:r>
        <w:rPr>
          <w:rFonts w:hint="eastAsia" w:ascii="宋体" w:hAnsi="宋体"/>
        </w:rPr>
        <w:t>条的约定，准备一份已完工程量报表、进度付款申请单和计量文件的格式等报送监理人，监理人应当在收到承包人报送的格式后</w:t>
      </w:r>
      <w:r>
        <w:rPr>
          <w:rFonts w:ascii="宋体" w:hAnsi="宋体"/>
        </w:rPr>
        <w:t>7</w:t>
      </w:r>
      <w:r>
        <w:rPr>
          <w:rFonts w:hint="eastAsia" w:ascii="宋体" w:hAnsi="宋体"/>
        </w:rPr>
        <w:t>天内给予批复或者提出修改意见。</w:t>
      </w:r>
      <w:bookmarkEnd w:id="3648"/>
    </w:p>
    <w:p>
      <w:pPr>
        <w:spacing w:line="360" w:lineRule="auto"/>
        <w:ind w:firstLine="630" w:firstLineChars="300"/>
        <w:outlineLvl w:val="3"/>
        <w:rPr>
          <w:rFonts w:ascii="宋体"/>
        </w:rPr>
      </w:pPr>
      <w:bookmarkStart w:id="3649" w:name="_Toc497235677"/>
      <w:r>
        <w:rPr>
          <w:rFonts w:ascii="宋体" w:hAnsi="宋体"/>
        </w:rPr>
        <w:t xml:space="preserve">14.1.2  </w:t>
      </w:r>
      <w:r>
        <w:rPr>
          <w:rFonts w:hint="eastAsia" w:ascii="宋体" w:hAnsi="宋体"/>
        </w:rPr>
        <w:t>根据合同条款第</w:t>
      </w:r>
      <w:r>
        <w:rPr>
          <w:rFonts w:ascii="宋体" w:hAnsi="宋体"/>
        </w:rPr>
        <w:t>17.1</w:t>
      </w:r>
      <w:r>
        <w:rPr>
          <w:rFonts w:hint="eastAsia" w:ascii="宋体" w:hAnsi="宋体"/>
        </w:rPr>
        <w:t>款和第</w:t>
      </w:r>
      <w:r>
        <w:rPr>
          <w:rFonts w:ascii="宋体" w:hAnsi="宋体"/>
        </w:rPr>
        <w:t>17.3</w:t>
      </w:r>
      <w:r>
        <w:rPr>
          <w:rFonts w:hint="eastAsia" w:ascii="宋体" w:hAnsi="宋体"/>
        </w:rPr>
        <w:t>款，承包人应当在合同约定的每个付款周期末，对当期完成的各项工程量进行计量和计价，并按照第</w:t>
      </w:r>
      <w:r>
        <w:rPr>
          <w:rFonts w:ascii="宋体" w:hAnsi="宋体"/>
        </w:rPr>
        <w:t>17.3.2</w:t>
      </w:r>
      <w:r>
        <w:rPr>
          <w:rFonts w:hint="eastAsia" w:ascii="宋体" w:hAnsi="宋体"/>
        </w:rPr>
        <w:t>项的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bookmarkEnd w:id="3649"/>
    </w:p>
    <w:p>
      <w:pPr>
        <w:spacing w:line="360" w:lineRule="auto"/>
        <w:ind w:firstLine="630" w:firstLineChars="300"/>
        <w:outlineLvl w:val="3"/>
        <w:rPr>
          <w:rFonts w:ascii="宋体"/>
        </w:rPr>
      </w:pPr>
      <w:bookmarkStart w:id="3650" w:name="_Toc497235678"/>
      <w:r>
        <w:rPr>
          <w:rFonts w:ascii="宋体" w:hAnsi="宋体"/>
        </w:rPr>
        <w:t xml:space="preserve">14.1.3  </w:t>
      </w:r>
      <w:r>
        <w:rPr>
          <w:rFonts w:hint="eastAsia" w:ascii="宋体" w:hAnsi="宋体"/>
        </w:rPr>
        <w:t>竣工付款申请单的内容按合同条款第</w:t>
      </w:r>
      <w:r>
        <w:rPr>
          <w:rFonts w:ascii="宋体" w:hAnsi="宋体"/>
        </w:rPr>
        <w:t>17.5.2</w:t>
      </w:r>
      <w:r>
        <w:rPr>
          <w:rFonts w:hint="eastAsia" w:ascii="宋体" w:hAnsi="宋体"/>
        </w:rPr>
        <w:t>（</w:t>
      </w:r>
      <w:r>
        <w:rPr>
          <w:rFonts w:ascii="宋体" w:hAnsi="宋体"/>
        </w:rPr>
        <w:t>1</w:t>
      </w:r>
      <w:r>
        <w:rPr>
          <w:rFonts w:hint="eastAsia" w:ascii="宋体" w:hAnsi="宋体"/>
        </w:rPr>
        <w:t>）目的约定。采用单价合同形式的，竣工付款申请单应当附上按合同条款第</w:t>
      </w:r>
      <w:r>
        <w:rPr>
          <w:rFonts w:ascii="宋体" w:hAnsi="宋体"/>
        </w:rPr>
        <w:t>17.1.4</w:t>
      </w:r>
      <w:r>
        <w:rPr>
          <w:rFonts w:hint="eastAsia" w:ascii="宋体" w:hAnsi="宋体"/>
        </w:rPr>
        <w:t>（</w:t>
      </w:r>
      <w:r>
        <w:rPr>
          <w:rFonts w:ascii="宋体" w:hAnsi="宋体"/>
        </w:rPr>
        <w:t>5</w:t>
      </w:r>
      <w:r>
        <w:rPr>
          <w:rFonts w:hint="eastAsia" w:ascii="宋体" w:hAnsi="宋体"/>
        </w:rPr>
        <w:t>）目确定的结算工程量和最近一次进度付款和竣工付款之间完成的各子目的工程量计量文件。采用总价合同形式的，签约合同价所基于的工程量就是相应的竣工结算工程量，但是，变更应按合同约定进行计量和计价。</w:t>
      </w:r>
      <w:bookmarkEnd w:id="3650"/>
    </w:p>
    <w:p>
      <w:pPr>
        <w:spacing w:line="360" w:lineRule="auto"/>
        <w:ind w:firstLine="630" w:firstLineChars="300"/>
        <w:outlineLvl w:val="3"/>
        <w:rPr>
          <w:rFonts w:ascii="宋体"/>
        </w:rPr>
      </w:pPr>
      <w:bookmarkStart w:id="3651" w:name="_Toc497235679"/>
      <w:r>
        <w:rPr>
          <w:rFonts w:ascii="宋体" w:hAnsi="宋体"/>
        </w:rPr>
        <w:t xml:space="preserve">14.1.4  </w:t>
      </w:r>
      <w:r>
        <w:rPr>
          <w:rFonts w:hint="eastAsia" w:ascii="宋体" w:hAnsi="宋体"/>
        </w:rPr>
        <w:t>竣工结算总价（合同价格）应当按以下内容梳理：</w:t>
      </w:r>
      <w:bookmarkEnd w:id="3651"/>
    </w:p>
    <w:p>
      <w:pPr>
        <w:spacing w:line="360" w:lineRule="auto"/>
        <w:ind w:firstLine="630" w:firstLineChars="300"/>
        <w:outlineLvl w:val="3"/>
        <w:rPr>
          <w:rFonts w:ascii="宋体"/>
        </w:rPr>
      </w:pPr>
      <w:bookmarkStart w:id="3652" w:name="_Toc497235680"/>
      <w:r>
        <w:rPr>
          <w:rFonts w:hint="eastAsia" w:ascii="宋体" w:hAnsi="宋体"/>
        </w:rPr>
        <w:t>（</w:t>
      </w:r>
      <w:r>
        <w:rPr>
          <w:rFonts w:ascii="宋体" w:hAnsi="宋体"/>
        </w:rPr>
        <w:t>1</w:t>
      </w:r>
      <w:r>
        <w:rPr>
          <w:rFonts w:hint="eastAsia" w:ascii="宋体" w:hAnsi="宋体"/>
        </w:rPr>
        <w:t>）签约合同价；</w:t>
      </w:r>
      <w:bookmarkEnd w:id="3652"/>
    </w:p>
    <w:p>
      <w:pPr>
        <w:spacing w:line="360" w:lineRule="auto"/>
        <w:ind w:firstLine="630" w:firstLineChars="300"/>
        <w:outlineLvl w:val="3"/>
        <w:rPr>
          <w:rFonts w:ascii="宋体"/>
        </w:rPr>
      </w:pPr>
      <w:bookmarkStart w:id="3653" w:name="_Toc497235681"/>
      <w:r>
        <w:rPr>
          <w:rFonts w:hint="eastAsia" w:ascii="宋体" w:hAnsi="宋体"/>
        </w:rPr>
        <w:t>（</w:t>
      </w:r>
      <w:r>
        <w:rPr>
          <w:rFonts w:ascii="宋体" w:hAnsi="宋体"/>
        </w:rPr>
        <w:t>2</w:t>
      </w:r>
      <w:r>
        <w:rPr>
          <w:rFonts w:hint="eastAsia" w:ascii="宋体" w:hAnsi="宋体"/>
        </w:rPr>
        <w:t>）应当扣减的项目：</w:t>
      </w:r>
      <w:bookmarkEnd w:id="3653"/>
    </w:p>
    <w:p>
      <w:pPr>
        <w:spacing w:line="360" w:lineRule="auto"/>
        <w:ind w:firstLine="1134" w:firstLineChars="540"/>
        <w:outlineLvl w:val="3"/>
        <w:rPr>
          <w:rFonts w:ascii="宋体"/>
        </w:rPr>
      </w:pPr>
      <w:bookmarkStart w:id="3654" w:name="_Toc497235682"/>
      <w:r>
        <w:rPr>
          <w:rFonts w:ascii="宋体" w:hAnsi="宋体"/>
        </w:rPr>
        <w:t>1</w:t>
      </w:r>
      <w:r>
        <w:rPr>
          <w:rFonts w:hint="eastAsia" w:ascii="宋体" w:hAnsi="宋体"/>
        </w:rPr>
        <w:t>）</w:t>
      </w:r>
      <w:r>
        <w:rPr>
          <w:rFonts w:ascii="宋体"/>
        </w:rPr>
        <w:tab/>
      </w:r>
      <w:r>
        <w:rPr>
          <w:rFonts w:hint="eastAsia" w:ascii="宋体" w:hAnsi="宋体"/>
        </w:rPr>
        <w:t>所有暂列金额；</w:t>
      </w:r>
      <w:bookmarkEnd w:id="3654"/>
    </w:p>
    <w:p>
      <w:pPr>
        <w:spacing w:line="360" w:lineRule="auto"/>
        <w:ind w:firstLine="1134" w:firstLineChars="540"/>
        <w:outlineLvl w:val="3"/>
        <w:rPr>
          <w:rFonts w:ascii="宋体"/>
        </w:rPr>
      </w:pPr>
      <w:bookmarkStart w:id="3655" w:name="_Toc497235683"/>
      <w:r>
        <w:rPr>
          <w:rFonts w:ascii="宋体" w:hAnsi="宋体"/>
        </w:rPr>
        <w:t>2</w:t>
      </w:r>
      <w:r>
        <w:rPr>
          <w:rFonts w:hint="eastAsia" w:ascii="宋体" w:hAnsi="宋体"/>
        </w:rPr>
        <w:t>）</w:t>
      </w:r>
      <w:r>
        <w:rPr>
          <w:rFonts w:ascii="宋体"/>
        </w:rPr>
        <w:tab/>
      </w:r>
      <w:r>
        <w:rPr>
          <w:rFonts w:hint="eastAsia" w:ascii="宋体" w:hAnsi="宋体"/>
        </w:rPr>
        <w:t>所有暂估价；</w:t>
      </w:r>
      <w:bookmarkEnd w:id="3655"/>
    </w:p>
    <w:p>
      <w:pPr>
        <w:spacing w:line="360" w:lineRule="auto"/>
        <w:ind w:firstLine="1134" w:firstLineChars="540"/>
        <w:outlineLvl w:val="3"/>
        <w:rPr>
          <w:rFonts w:ascii="宋体"/>
        </w:rPr>
      </w:pPr>
      <w:bookmarkStart w:id="3656" w:name="_Toc497235684"/>
      <w:r>
        <w:rPr>
          <w:rFonts w:ascii="宋体" w:hAnsi="宋体"/>
        </w:rPr>
        <w:t>3</w:t>
      </w:r>
      <w:r>
        <w:rPr>
          <w:rFonts w:hint="eastAsia" w:ascii="宋体" w:hAnsi="宋体"/>
        </w:rPr>
        <w:t>）</w:t>
      </w:r>
      <w:r>
        <w:rPr>
          <w:rFonts w:ascii="宋体"/>
        </w:rPr>
        <w:tab/>
      </w:r>
      <w:r>
        <w:rPr>
          <w:rFonts w:hint="eastAsia" w:ascii="宋体" w:hAnsi="宋体"/>
        </w:rPr>
        <w:t>根据合同条款第</w:t>
      </w:r>
      <w:r>
        <w:rPr>
          <w:rFonts w:ascii="宋体" w:hAnsi="宋体"/>
        </w:rPr>
        <w:t>15</w:t>
      </w:r>
      <w:r>
        <w:rPr>
          <w:rFonts w:hint="eastAsia" w:ascii="宋体" w:hAnsi="宋体"/>
        </w:rPr>
        <w:t>条应扣减的变更金额；</w:t>
      </w:r>
      <w:bookmarkEnd w:id="3656"/>
    </w:p>
    <w:p>
      <w:pPr>
        <w:spacing w:line="360" w:lineRule="auto"/>
        <w:ind w:firstLine="1134" w:firstLineChars="540"/>
        <w:outlineLvl w:val="3"/>
        <w:rPr>
          <w:rFonts w:ascii="宋体"/>
        </w:rPr>
      </w:pPr>
      <w:bookmarkStart w:id="3657" w:name="_Toc497235685"/>
      <w:r>
        <w:rPr>
          <w:rFonts w:ascii="宋体" w:hAnsi="宋体"/>
        </w:rPr>
        <w:t>4</w:t>
      </w:r>
      <w:r>
        <w:rPr>
          <w:rFonts w:hint="eastAsia" w:ascii="宋体" w:hAnsi="宋体"/>
        </w:rPr>
        <w:t>）</w:t>
      </w:r>
      <w:r>
        <w:rPr>
          <w:rFonts w:ascii="宋体"/>
        </w:rPr>
        <w:tab/>
      </w:r>
      <w:r>
        <w:rPr>
          <w:rFonts w:hint="eastAsia" w:ascii="宋体" w:hAnsi="宋体"/>
        </w:rPr>
        <w:t>根据合同条款第</w:t>
      </w:r>
      <w:r>
        <w:rPr>
          <w:rFonts w:ascii="宋体" w:hAnsi="宋体"/>
        </w:rPr>
        <w:t>16</w:t>
      </w:r>
      <w:r>
        <w:rPr>
          <w:rFonts w:hint="eastAsia" w:ascii="宋体" w:hAnsi="宋体"/>
        </w:rPr>
        <w:t>条应扣减的价格调整（下调部分）；</w:t>
      </w:r>
      <w:bookmarkEnd w:id="3657"/>
    </w:p>
    <w:p>
      <w:pPr>
        <w:spacing w:line="360" w:lineRule="auto"/>
        <w:ind w:firstLine="1134" w:firstLineChars="540"/>
        <w:outlineLvl w:val="3"/>
        <w:rPr>
          <w:rFonts w:ascii="宋体"/>
        </w:rPr>
      </w:pPr>
      <w:bookmarkStart w:id="3658" w:name="_Toc497235686"/>
      <w:r>
        <w:rPr>
          <w:rFonts w:ascii="宋体" w:hAnsi="宋体"/>
        </w:rPr>
        <w:t>5</w:t>
      </w:r>
      <w:r>
        <w:rPr>
          <w:rFonts w:hint="eastAsia" w:ascii="宋体" w:hAnsi="宋体"/>
        </w:rPr>
        <w:t>）</w:t>
      </w:r>
      <w:r>
        <w:rPr>
          <w:rFonts w:ascii="宋体"/>
        </w:rPr>
        <w:tab/>
      </w:r>
      <w:r>
        <w:rPr>
          <w:rFonts w:hint="eastAsia" w:ascii="宋体" w:hAnsi="宋体"/>
        </w:rPr>
        <w:t>根据合同条款第</w:t>
      </w:r>
      <w:r>
        <w:rPr>
          <w:rFonts w:ascii="宋体" w:hAnsi="宋体"/>
        </w:rPr>
        <w:t>23.4</w:t>
      </w:r>
      <w:r>
        <w:rPr>
          <w:rFonts w:hint="eastAsia" w:ascii="宋体" w:hAnsi="宋体"/>
        </w:rPr>
        <w:t>款应扣减的发包人索赔金额；</w:t>
      </w:r>
      <w:bookmarkEnd w:id="3658"/>
    </w:p>
    <w:p>
      <w:pPr>
        <w:spacing w:line="360" w:lineRule="auto"/>
        <w:ind w:firstLine="1134" w:firstLineChars="540"/>
        <w:outlineLvl w:val="3"/>
        <w:rPr>
          <w:rFonts w:ascii="宋体"/>
        </w:rPr>
      </w:pPr>
      <w:bookmarkStart w:id="3659" w:name="_Toc497235687"/>
      <w:r>
        <w:rPr>
          <w:rFonts w:ascii="宋体" w:hAnsi="宋体"/>
        </w:rPr>
        <w:t>6</w:t>
      </w:r>
      <w:r>
        <w:rPr>
          <w:rFonts w:hint="eastAsia" w:ascii="宋体" w:hAnsi="宋体"/>
        </w:rPr>
        <w:t>）</w:t>
      </w:r>
      <w:r>
        <w:rPr>
          <w:rFonts w:ascii="宋体"/>
        </w:rPr>
        <w:tab/>
      </w:r>
      <w:r>
        <w:rPr>
          <w:rFonts w:hint="eastAsia" w:ascii="宋体" w:hAnsi="宋体"/>
        </w:rPr>
        <w:t>甩项工程的合同价值（如果有）；</w:t>
      </w:r>
      <w:bookmarkEnd w:id="3659"/>
    </w:p>
    <w:p>
      <w:pPr>
        <w:spacing w:line="360" w:lineRule="auto"/>
        <w:ind w:firstLine="1134" w:firstLineChars="540"/>
        <w:outlineLvl w:val="3"/>
        <w:rPr>
          <w:rFonts w:ascii="宋体"/>
        </w:rPr>
      </w:pPr>
      <w:bookmarkStart w:id="3660" w:name="_Toc497235688"/>
      <w:r>
        <w:rPr>
          <w:rFonts w:ascii="宋体" w:hAnsi="宋体"/>
        </w:rPr>
        <w:t>7</w:t>
      </w:r>
      <w:r>
        <w:rPr>
          <w:rFonts w:hint="eastAsia" w:ascii="宋体" w:hAnsi="宋体"/>
        </w:rPr>
        <w:t>）</w:t>
      </w:r>
      <w:r>
        <w:rPr>
          <w:rFonts w:ascii="宋体"/>
        </w:rPr>
        <w:tab/>
      </w:r>
      <w:r>
        <w:rPr>
          <w:rFonts w:hint="eastAsia" w:ascii="宋体" w:hAnsi="宋体"/>
        </w:rPr>
        <w:t>根据合同约定发包人应扣减的其他金额。</w:t>
      </w:r>
      <w:bookmarkEnd w:id="3660"/>
    </w:p>
    <w:p>
      <w:pPr>
        <w:spacing w:line="360" w:lineRule="auto"/>
        <w:ind w:firstLine="630" w:firstLineChars="300"/>
        <w:outlineLvl w:val="3"/>
        <w:rPr>
          <w:rFonts w:ascii="宋体"/>
        </w:rPr>
      </w:pPr>
      <w:bookmarkStart w:id="3661" w:name="_Toc497235689"/>
      <w:r>
        <w:rPr>
          <w:rFonts w:hint="eastAsia" w:ascii="宋体" w:hAnsi="宋体"/>
        </w:rPr>
        <w:t>（</w:t>
      </w:r>
      <w:r>
        <w:rPr>
          <w:rFonts w:ascii="宋体" w:hAnsi="宋体"/>
        </w:rPr>
        <w:t>3</w:t>
      </w:r>
      <w:r>
        <w:rPr>
          <w:rFonts w:hint="eastAsia" w:ascii="宋体" w:hAnsi="宋体"/>
        </w:rPr>
        <w:t>）应当增加的项目：</w:t>
      </w:r>
      <w:bookmarkEnd w:id="3661"/>
    </w:p>
    <w:p>
      <w:pPr>
        <w:spacing w:line="360" w:lineRule="auto"/>
        <w:ind w:firstLine="1134" w:firstLineChars="540"/>
        <w:outlineLvl w:val="3"/>
        <w:rPr>
          <w:rFonts w:ascii="宋体"/>
        </w:rPr>
      </w:pPr>
      <w:bookmarkStart w:id="3662" w:name="_Toc497235690"/>
      <w:r>
        <w:rPr>
          <w:rFonts w:ascii="宋体" w:hAnsi="宋体"/>
        </w:rPr>
        <w:t>1</w:t>
      </w:r>
      <w:r>
        <w:rPr>
          <w:rFonts w:hint="eastAsia" w:ascii="宋体" w:hAnsi="宋体"/>
        </w:rPr>
        <w:t>）</w:t>
      </w:r>
      <w:r>
        <w:rPr>
          <w:rFonts w:ascii="宋体"/>
        </w:rPr>
        <w:tab/>
      </w:r>
      <w:r>
        <w:rPr>
          <w:rFonts w:hint="eastAsia" w:ascii="宋体" w:hAnsi="宋体"/>
        </w:rPr>
        <w:t>实际发生的暂列金额（包括计日工）；</w:t>
      </w:r>
      <w:bookmarkEnd w:id="3662"/>
    </w:p>
    <w:p>
      <w:pPr>
        <w:spacing w:line="360" w:lineRule="auto"/>
        <w:ind w:firstLine="1134" w:firstLineChars="540"/>
        <w:outlineLvl w:val="3"/>
        <w:rPr>
          <w:rFonts w:ascii="宋体"/>
        </w:rPr>
      </w:pPr>
      <w:bookmarkStart w:id="3663" w:name="_Toc497235691"/>
      <w:r>
        <w:rPr>
          <w:rFonts w:ascii="宋体" w:hAnsi="宋体"/>
        </w:rPr>
        <w:t>2</w:t>
      </w:r>
      <w:r>
        <w:rPr>
          <w:rFonts w:hint="eastAsia" w:ascii="宋体" w:hAnsi="宋体"/>
        </w:rPr>
        <w:t>）</w:t>
      </w:r>
      <w:r>
        <w:rPr>
          <w:rFonts w:ascii="宋体"/>
        </w:rPr>
        <w:tab/>
      </w:r>
      <w:r>
        <w:rPr>
          <w:rFonts w:hint="eastAsia" w:ascii="宋体" w:hAnsi="宋体"/>
        </w:rPr>
        <w:t>实际发生的暂估价；</w:t>
      </w:r>
      <w:bookmarkEnd w:id="3663"/>
    </w:p>
    <w:p>
      <w:pPr>
        <w:spacing w:line="360" w:lineRule="auto"/>
        <w:ind w:firstLine="1134" w:firstLineChars="540"/>
        <w:outlineLvl w:val="3"/>
        <w:rPr>
          <w:rFonts w:ascii="宋体"/>
        </w:rPr>
      </w:pPr>
      <w:bookmarkStart w:id="3664" w:name="_Toc497235692"/>
      <w:r>
        <w:rPr>
          <w:rFonts w:ascii="宋体" w:hAnsi="宋体"/>
        </w:rPr>
        <w:t>3</w:t>
      </w:r>
      <w:r>
        <w:rPr>
          <w:rFonts w:hint="eastAsia" w:ascii="宋体" w:hAnsi="宋体"/>
        </w:rPr>
        <w:t>）</w:t>
      </w:r>
      <w:r>
        <w:rPr>
          <w:rFonts w:ascii="宋体"/>
        </w:rPr>
        <w:tab/>
      </w:r>
      <w:r>
        <w:rPr>
          <w:rFonts w:hint="eastAsia" w:ascii="宋体" w:hAnsi="宋体"/>
        </w:rPr>
        <w:t>根据合同条款第</w:t>
      </w:r>
      <w:r>
        <w:rPr>
          <w:rFonts w:ascii="宋体" w:hAnsi="宋体"/>
        </w:rPr>
        <w:t>15</w:t>
      </w:r>
      <w:r>
        <w:rPr>
          <w:rFonts w:hint="eastAsia" w:ascii="宋体" w:hAnsi="宋体"/>
        </w:rPr>
        <w:t>条应增加的变更金额；</w:t>
      </w:r>
      <w:bookmarkEnd w:id="3664"/>
    </w:p>
    <w:p>
      <w:pPr>
        <w:spacing w:line="360" w:lineRule="auto"/>
        <w:ind w:firstLine="1134" w:firstLineChars="540"/>
        <w:outlineLvl w:val="3"/>
        <w:rPr>
          <w:rFonts w:ascii="宋体"/>
        </w:rPr>
      </w:pPr>
      <w:bookmarkStart w:id="3665" w:name="_Toc497235693"/>
      <w:r>
        <w:rPr>
          <w:rFonts w:ascii="宋体" w:hAnsi="宋体"/>
        </w:rPr>
        <w:t>4</w:t>
      </w:r>
      <w:r>
        <w:rPr>
          <w:rFonts w:hint="eastAsia" w:ascii="宋体" w:hAnsi="宋体"/>
        </w:rPr>
        <w:t>）</w:t>
      </w:r>
      <w:r>
        <w:rPr>
          <w:rFonts w:ascii="宋体"/>
        </w:rPr>
        <w:tab/>
      </w:r>
      <w:r>
        <w:rPr>
          <w:rFonts w:hint="eastAsia" w:ascii="宋体" w:hAnsi="宋体"/>
        </w:rPr>
        <w:t>根据合同条款第</w:t>
      </w:r>
      <w:r>
        <w:rPr>
          <w:rFonts w:ascii="宋体" w:hAnsi="宋体"/>
        </w:rPr>
        <w:t>16</w:t>
      </w:r>
      <w:r>
        <w:rPr>
          <w:rFonts w:hint="eastAsia" w:ascii="宋体" w:hAnsi="宋体"/>
        </w:rPr>
        <w:t>条应增加的价格调整（上调部分）；</w:t>
      </w:r>
      <w:bookmarkEnd w:id="3665"/>
    </w:p>
    <w:p>
      <w:pPr>
        <w:spacing w:line="360" w:lineRule="auto"/>
        <w:ind w:firstLine="1134" w:firstLineChars="540"/>
        <w:outlineLvl w:val="3"/>
        <w:rPr>
          <w:rFonts w:ascii="宋体"/>
        </w:rPr>
      </w:pPr>
      <w:bookmarkStart w:id="3666" w:name="_Toc497235694"/>
      <w:r>
        <w:rPr>
          <w:rFonts w:ascii="宋体" w:hAnsi="宋体"/>
        </w:rPr>
        <w:t>5</w:t>
      </w:r>
      <w:r>
        <w:rPr>
          <w:rFonts w:hint="eastAsia" w:ascii="宋体" w:hAnsi="宋体"/>
        </w:rPr>
        <w:t>）</w:t>
      </w:r>
      <w:r>
        <w:rPr>
          <w:rFonts w:ascii="宋体"/>
        </w:rPr>
        <w:tab/>
      </w:r>
      <w:r>
        <w:rPr>
          <w:rFonts w:hint="eastAsia" w:ascii="宋体" w:hAnsi="宋体"/>
        </w:rPr>
        <w:t>根据合同条款第</w:t>
      </w:r>
      <w:r>
        <w:rPr>
          <w:rFonts w:ascii="宋体" w:hAnsi="宋体"/>
        </w:rPr>
        <w:t>23.2</w:t>
      </w:r>
      <w:r>
        <w:rPr>
          <w:rFonts w:hint="eastAsia" w:ascii="宋体" w:hAnsi="宋体"/>
        </w:rPr>
        <w:t>款应增加的承包人索赔金额；</w:t>
      </w:r>
      <w:bookmarkEnd w:id="3666"/>
    </w:p>
    <w:p>
      <w:pPr>
        <w:spacing w:line="360" w:lineRule="auto"/>
        <w:ind w:firstLine="1134" w:firstLineChars="540"/>
        <w:outlineLvl w:val="3"/>
        <w:rPr>
          <w:rFonts w:ascii="宋体"/>
        </w:rPr>
      </w:pPr>
      <w:bookmarkStart w:id="3667" w:name="_Toc497235695"/>
      <w:r>
        <w:rPr>
          <w:rFonts w:ascii="宋体" w:hAnsi="宋体"/>
        </w:rPr>
        <w:t>6</w:t>
      </w:r>
      <w:r>
        <w:rPr>
          <w:rFonts w:hint="eastAsia" w:ascii="宋体" w:hAnsi="宋体"/>
        </w:rPr>
        <w:t>）</w:t>
      </w:r>
      <w:r>
        <w:rPr>
          <w:rFonts w:ascii="宋体"/>
        </w:rPr>
        <w:tab/>
      </w:r>
      <w:r>
        <w:rPr>
          <w:rFonts w:hint="eastAsia" w:ascii="宋体" w:hAnsi="宋体"/>
        </w:rPr>
        <w:t>根据合同约定承包人应当得到的其他金额。</w:t>
      </w:r>
      <w:bookmarkEnd w:id="3667"/>
    </w:p>
    <w:p>
      <w:pPr>
        <w:spacing w:line="360" w:lineRule="auto"/>
        <w:ind w:firstLine="630" w:firstLineChars="300"/>
        <w:outlineLvl w:val="3"/>
        <w:rPr>
          <w:rFonts w:ascii="宋体"/>
        </w:rPr>
      </w:pPr>
      <w:bookmarkStart w:id="3668" w:name="_Toc497235696"/>
      <w:r>
        <w:rPr>
          <w:rFonts w:hint="eastAsia" w:ascii="宋体" w:hAnsi="宋体"/>
        </w:rPr>
        <w:t>（</w:t>
      </w:r>
      <w:r>
        <w:rPr>
          <w:rFonts w:ascii="宋体" w:hAnsi="宋体"/>
        </w:rPr>
        <w:t>4</w:t>
      </w:r>
      <w:r>
        <w:rPr>
          <w:rFonts w:hint="eastAsia" w:ascii="宋体" w:hAnsi="宋体"/>
        </w:rPr>
        <w:t>）税金差额部分。</w:t>
      </w:r>
      <w:bookmarkEnd w:id="3668"/>
    </w:p>
    <w:p>
      <w:pPr>
        <w:spacing w:line="360" w:lineRule="auto"/>
        <w:ind w:firstLine="630" w:firstLineChars="300"/>
        <w:outlineLvl w:val="3"/>
        <w:rPr>
          <w:rFonts w:ascii="宋体"/>
        </w:rPr>
      </w:pPr>
      <w:bookmarkStart w:id="3669" w:name="_Toc497235697"/>
      <w:r>
        <w:rPr>
          <w:rFonts w:ascii="宋体" w:hAnsi="宋体"/>
        </w:rPr>
        <w:t xml:space="preserve">14.1.5  </w:t>
      </w:r>
      <w:r>
        <w:rPr>
          <w:rFonts w:hint="eastAsia" w:ascii="宋体" w:hAnsi="宋体"/>
        </w:rPr>
        <w:t>最终结清申请单的应付金额应当按下列内容梳理：</w:t>
      </w:r>
      <w:bookmarkEnd w:id="3669"/>
    </w:p>
    <w:p>
      <w:pPr>
        <w:spacing w:line="360" w:lineRule="auto"/>
        <w:ind w:firstLine="630" w:firstLineChars="300"/>
        <w:outlineLvl w:val="3"/>
        <w:rPr>
          <w:rFonts w:ascii="宋体"/>
        </w:rPr>
      </w:pPr>
      <w:bookmarkStart w:id="3670" w:name="_Toc497235698"/>
      <w:r>
        <w:rPr>
          <w:rFonts w:hint="eastAsia" w:ascii="宋体" w:hAnsi="宋体"/>
        </w:rPr>
        <w:t>（</w:t>
      </w:r>
      <w:r>
        <w:rPr>
          <w:rFonts w:ascii="宋体" w:hAnsi="宋体"/>
        </w:rPr>
        <w:t>1</w:t>
      </w:r>
      <w:r>
        <w:rPr>
          <w:rFonts w:hint="eastAsia" w:ascii="宋体" w:hAnsi="宋体"/>
        </w:rPr>
        <w:t>）按合同约定扣留的质量保证金</w:t>
      </w:r>
      <w:bookmarkEnd w:id="3670"/>
      <w:r>
        <w:rPr>
          <w:rFonts w:hint="eastAsia" w:ascii="宋体" w:hAnsi="宋体"/>
        </w:rPr>
        <w:t>。</w:t>
      </w:r>
    </w:p>
    <w:p>
      <w:pPr>
        <w:spacing w:line="360" w:lineRule="auto"/>
        <w:ind w:firstLine="630" w:firstLineChars="300"/>
        <w:outlineLvl w:val="3"/>
        <w:rPr>
          <w:rFonts w:ascii="宋体"/>
        </w:rPr>
      </w:pPr>
      <w:bookmarkStart w:id="3671" w:name="_Toc497235699"/>
      <w:r>
        <w:rPr>
          <w:rFonts w:hint="eastAsia" w:ascii="宋体" w:hAnsi="宋体"/>
        </w:rPr>
        <w:t>（</w:t>
      </w:r>
      <w:r>
        <w:rPr>
          <w:rFonts w:ascii="宋体" w:hAnsi="宋体"/>
        </w:rPr>
        <w:t>2</w:t>
      </w:r>
      <w:r>
        <w:rPr>
          <w:rFonts w:hint="eastAsia" w:ascii="宋体" w:hAnsi="宋体"/>
        </w:rPr>
        <w:t>）应当扣除的金额：</w:t>
      </w:r>
      <w:bookmarkEnd w:id="3671"/>
    </w:p>
    <w:p>
      <w:pPr>
        <w:spacing w:line="360" w:lineRule="auto"/>
        <w:ind w:firstLine="1134" w:firstLineChars="540"/>
        <w:outlineLvl w:val="3"/>
        <w:rPr>
          <w:rFonts w:ascii="宋体"/>
        </w:rPr>
      </w:pPr>
      <w:bookmarkStart w:id="3672" w:name="_Toc497235700"/>
      <w:r>
        <w:rPr>
          <w:rFonts w:ascii="宋体" w:hAnsi="宋体"/>
        </w:rPr>
        <w:t>1</w:t>
      </w:r>
      <w:r>
        <w:rPr>
          <w:rFonts w:hint="eastAsia" w:ascii="宋体" w:hAnsi="宋体"/>
        </w:rPr>
        <w:t>）</w:t>
      </w:r>
      <w:r>
        <w:rPr>
          <w:rFonts w:ascii="宋体"/>
        </w:rPr>
        <w:tab/>
      </w:r>
      <w:r>
        <w:rPr>
          <w:rFonts w:hint="eastAsia" w:ascii="宋体" w:hAnsi="宋体"/>
        </w:rPr>
        <w:t>按合同条款</w:t>
      </w:r>
      <w:r>
        <w:rPr>
          <w:rFonts w:ascii="宋体" w:hAnsi="宋体"/>
        </w:rPr>
        <w:t>17.4.3</w:t>
      </w:r>
      <w:r>
        <w:rPr>
          <w:rFonts w:hint="eastAsia" w:ascii="宋体" w:hAnsi="宋体"/>
        </w:rPr>
        <w:t>项约定扣留的质量保证金；</w:t>
      </w:r>
      <w:bookmarkEnd w:id="3672"/>
    </w:p>
    <w:p>
      <w:pPr>
        <w:spacing w:line="360" w:lineRule="auto"/>
        <w:ind w:firstLine="1134" w:firstLineChars="540"/>
        <w:outlineLvl w:val="3"/>
        <w:rPr>
          <w:rFonts w:ascii="宋体"/>
        </w:rPr>
      </w:pPr>
      <w:bookmarkStart w:id="3673" w:name="_Toc497235701"/>
      <w:r>
        <w:rPr>
          <w:rFonts w:ascii="宋体" w:hAnsi="宋体"/>
        </w:rPr>
        <w:t>2</w:t>
      </w:r>
      <w:r>
        <w:rPr>
          <w:rFonts w:hint="eastAsia" w:ascii="宋体" w:hAnsi="宋体"/>
        </w:rPr>
        <w:t>）</w:t>
      </w:r>
      <w:r>
        <w:rPr>
          <w:rFonts w:ascii="宋体"/>
        </w:rPr>
        <w:tab/>
      </w:r>
      <w:r>
        <w:rPr>
          <w:rFonts w:hint="eastAsia" w:ascii="宋体" w:hAnsi="宋体"/>
        </w:rPr>
        <w:t>按合同条款</w:t>
      </w:r>
      <w:r>
        <w:rPr>
          <w:rFonts w:ascii="宋体" w:hAnsi="宋体"/>
        </w:rPr>
        <w:t>19.2.4</w:t>
      </w:r>
      <w:r>
        <w:rPr>
          <w:rFonts w:hint="eastAsia" w:ascii="宋体" w:hAnsi="宋体"/>
        </w:rPr>
        <w:t>项约定扣除的质量保证金；</w:t>
      </w:r>
      <w:bookmarkEnd w:id="3673"/>
    </w:p>
    <w:p>
      <w:pPr>
        <w:spacing w:line="360" w:lineRule="auto"/>
        <w:ind w:firstLine="1134" w:firstLineChars="540"/>
        <w:outlineLvl w:val="3"/>
        <w:rPr>
          <w:rFonts w:ascii="宋体"/>
        </w:rPr>
      </w:pPr>
      <w:bookmarkStart w:id="3674" w:name="_Toc497235702"/>
      <w:r>
        <w:rPr>
          <w:rFonts w:ascii="宋体" w:hAnsi="宋体"/>
        </w:rPr>
        <w:t>3</w:t>
      </w:r>
      <w:r>
        <w:rPr>
          <w:rFonts w:hint="eastAsia" w:ascii="宋体" w:hAnsi="宋体"/>
        </w:rPr>
        <w:t>）</w:t>
      </w:r>
      <w:r>
        <w:rPr>
          <w:rFonts w:ascii="宋体"/>
        </w:rPr>
        <w:tab/>
      </w:r>
      <w:r>
        <w:rPr>
          <w:rFonts w:hint="eastAsia" w:ascii="宋体" w:hAnsi="宋体"/>
        </w:rPr>
        <w:t>根据合同条款第</w:t>
      </w:r>
      <w:r>
        <w:rPr>
          <w:rFonts w:ascii="宋体" w:hAnsi="宋体"/>
        </w:rPr>
        <w:t>23.4</w:t>
      </w:r>
      <w:r>
        <w:rPr>
          <w:rFonts w:hint="eastAsia" w:ascii="宋体" w:hAnsi="宋体"/>
        </w:rPr>
        <w:t>款应扣减的缺陷责任期内发生的发包人索赔金额；</w:t>
      </w:r>
      <w:bookmarkEnd w:id="3674"/>
    </w:p>
    <w:p>
      <w:pPr>
        <w:spacing w:line="360" w:lineRule="auto"/>
        <w:ind w:firstLine="1134" w:firstLineChars="540"/>
        <w:outlineLvl w:val="3"/>
        <w:rPr>
          <w:rFonts w:ascii="宋体"/>
        </w:rPr>
      </w:pPr>
      <w:bookmarkStart w:id="3675" w:name="_Toc497235703"/>
      <w:r>
        <w:rPr>
          <w:rFonts w:ascii="宋体" w:hAnsi="宋体"/>
        </w:rPr>
        <w:t>4</w:t>
      </w:r>
      <w:r>
        <w:rPr>
          <w:rFonts w:hint="eastAsia" w:ascii="宋体" w:hAnsi="宋体"/>
        </w:rPr>
        <w:t>）</w:t>
      </w:r>
      <w:r>
        <w:rPr>
          <w:rFonts w:ascii="宋体"/>
        </w:rPr>
        <w:tab/>
      </w:r>
      <w:r>
        <w:rPr>
          <w:rFonts w:hint="eastAsia" w:ascii="宋体" w:hAnsi="宋体"/>
        </w:rPr>
        <w:t>根据合同约定应扣减的其他金额。</w:t>
      </w:r>
      <w:bookmarkEnd w:id="3675"/>
    </w:p>
    <w:p>
      <w:pPr>
        <w:spacing w:line="360" w:lineRule="auto"/>
        <w:ind w:firstLine="630" w:firstLineChars="300"/>
        <w:outlineLvl w:val="3"/>
        <w:rPr>
          <w:rFonts w:ascii="宋体"/>
        </w:rPr>
      </w:pPr>
      <w:bookmarkStart w:id="3676" w:name="_Toc497235704"/>
      <w:r>
        <w:rPr>
          <w:rFonts w:hint="eastAsia" w:ascii="宋体" w:hAnsi="宋体"/>
        </w:rPr>
        <w:t>（</w:t>
      </w:r>
      <w:r>
        <w:rPr>
          <w:rFonts w:ascii="宋体" w:hAnsi="宋体"/>
        </w:rPr>
        <w:t>3</w:t>
      </w:r>
      <w:r>
        <w:rPr>
          <w:rFonts w:hint="eastAsia" w:ascii="宋体" w:hAnsi="宋体"/>
        </w:rPr>
        <w:t>）应当增加的金额：</w:t>
      </w:r>
      <w:bookmarkEnd w:id="3676"/>
    </w:p>
    <w:p>
      <w:pPr>
        <w:spacing w:line="360" w:lineRule="auto"/>
        <w:ind w:firstLine="1134" w:firstLineChars="540"/>
        <w:outlineLvl w:val="3"/>
        <w:rPr>
          <w:rFonts w:ascii="宋体"/>
        </w:rPr>
      </w:pPr>
      <w:bookmarkStart w:id="3677" w:name="_Toc497235705"/>
      <w:r>
        <w:rPr>
          <w:rFonts w:ascii="宋体" w:hAnsi="宋体"/>
        </w:rPr>
        <w:t>1</w:t>
      </w:r>
      <w:r>
        <w:rPr>
          <w:rFonts w:hint="eastAsia" w:ascii="宋体" w:hAnsi="宋体"/>
        </w:rPr>
        <w:t>）</w:t>
      </w:r>
      <w:r>
        <w:rPr>
          <w:rFonts w:ascii="宋体"/>
        </w:rPr>
        <w:tab/>
      </w:r>
      <w:r>
        <w:rPr>
          <w:rFonts w:hint="eastAsia" w:ascii="宋体" w:hAnsi="宋体"/>
        </w:rPr>
        <w:t>已完且符合合同约定的甩项工程的价值；</w:t>
      </w:r>
      <w:bookmarkEnd w:id="3677"/>
    </w:p>
    <w:p>
      <w:pPr>
        <w:spacing w:line="360" w:lineRule="auto"/>
        <w:ind w:left="1701" w:leftChars="540" w:hanging="567" w:hangingChars="270"/>
        <w:outlineLvl w:val="3"/>
        <w:rPr>
          <w:rFonts w:ascii="宋体"/>
        </w:rPr>
      </w:pPr>
      <w:bookmarkStart w:id="3678" w:name="_Toc497235706"/>
      <w:r>
        <w:rPr>
          <w:rFonts w:ascii="宋体" w:hAnsi="宋体"/>
        </w:rPr>
        <w:t>2</w:t>
      </w:r>
      <w:r>
        <w:rPr>
          <w:rFonts w:hint="eastAsia" w:ascii="宋体" w:hAnsi="宋体"/>
        </w:rPr>
        <w:t>）</w:t>
      </w:r>
      <w:r>
        <w:rPr>
          <w:rFonts w:ascii="宋体"/>
        </w:rPr>
        <w:tab/>
      </w:r>
      <w:r>
        <w:rPr>
          <w:rFonts w:hint="eastAsia" w:ascii="宋体" w:hAnsi="宋体"/>
        </w:rPr>
        <w:t>按合同条款</w:t>
      </w:r>
      <w:r>
        <w:rPr>
          <w:rFonts w:ascii="宋体" w:hAnsi="宋体"/>
        </w:rPr>
        <w:t>19.2.3</w:t>
      </w:r>
      <w:r>
        <w:rPr>
          <w:rFonts w:hint="eastAsia" w:ascii="宋体" w:hAnsi="宋体"/>
        </w:rPr>
        <w:t>项约定由承包人修复的发包人原因造成的缺陷的价值；</w:t>
      </w:r>
      <w:bookmarkEnd w:id="3678"/>
    </w:p>
    <w:p>
      <w:pPr>
        <w:spacing w:line="360" w:lineRule="auto"/>
        <w:ind w:firstLine="1134" w:firstLineChars="540"/>
        <w:outlineLvl w:val="3"/>
        <w:rPr>
          <w:rFonts w:ascii="宋体"/>
        </w:rPr>
      </w:pPr>
      <w:bookmarkStart w:id="3679" w:name="_Toc497235707"/>
      <w:r>
        <w:rPr>
          <w:rFonts w:ascii="宋体" w:hAnsi="宋体"/>
        </w:rPr>
        <w:t>3</w:t>
      </w:r>
      <w:r>
        <w:rPr>
          <w:rFonts w:hint="eastAsia" w:ascii="宋体" w:hAnsi="宋体"/>
        </w:rPr>
        <w:t>）</w:t>
      </w:r>
      <w:r>
        <w:rPr>
          <w:rFonts w:ascii="宋体"/>
        </w:rPr>
        <w:tab/>
      </w:r>
      <w:r>
        <w:rPr>
          <w:rFonts w:hint="eastAsia" w:ascii="宋体" w:hAnsi="宋体"/>
        </w:rPr>
        <w:t>根据合同条款第</w:t>
      </w:r>
      <w:r>
        <w:rPr>
          <w:rFonts w:ascii="宋体" w:hAnsi="宋体"/>
        </w:rPr>
        <w:t>23.2</w:t>
      </w:r>
      <w:r>
        <w:rPr>
          <w:rFonts w:hint="eastAsia" w:ascii="宋体" w:hAnsi="宋体"/>
        </w:rPr>
        <w:t>款应增加的缺陷责任期内发生的承包人索赔金额；</w:t>
      </w:r>
      <w:bookmarkEnd w:id="3679"/>
    </w:p>
    <w:p>
      <w:pPr>
        <w:spacing w:line="360" w:lineRule="auto"/>
        <w:ind w:firstLine="1134" w:firstLineChars="540"/>
        <w:outlineLvl w:val="3"/>
        <w:rPr>
          <w:rFonts w:ascii="宋体"/>
        </w:rPr>
      </w:pPr>
      <w:bookmarkStart w:id="3680" w:name="_Toc497235708"/>
      <w:r>
        <w:rPr>
          <w:rFonts w:ascii="宋体" w:hAnsi="宋体"/>
        </w:rPr>
        <w:t>4</w:t>
      </w:r>
      <w:r>
        <w:rPr>
          <w:rFonts w:hint="eastAsia" w:ascii="宋体" w:hAnsi="宋体"/>
        </w:rPr>
        <w:t>）</w:t>
      </w:r>
      <w:r>
        <w:rPr>
          <w:rFonts w:ascii="宋体"/>
        </w:rPr>
        <w:tab/>
      </w:r>
      <w:r>
        <w:rPr>
          <w:rFonts w:hint="eastAsia" w:ascii="宋体" w:hAnsi="宋体"/>
        </w:rPr>
        <w:t>根据合同约定承包人应当得到的其他金额。</w:t>
      </w:r>
      <w:bookmarkEnd w:id="3680"/>
    </w:p>
    <w:p>
      <w:pPr>
        <w:spacing w:line="360" w:lineRule="auto"/>
        <w:ind w:firstLine="630" w:firstLineChars="300"/>
        <w:outlineLvl w:val="3"/>
        <w:rPr>
          <w:rFonts w:ascii="宋体"/>
        </w:rPr>
      </w:pPr>
      <w:bookmarkStart w:id="3681" w:name="_Toc497235709"/>
      <w:r>
        <w:rPr>
          <w:rFonts w:hint="eastAsia" w:ascii="宋体" w:hAnsi="宋体"/>
        </w:rPr>
        <w:t>最终结清应当由发包人和承包人按照“多退少补”的原则办理。</w:t>
      </w:r>
      <w:bookmarkEnd w:id="3681"/>
    </w:p>
    <w:p>
      <w:pPr>
        <w:spacing w:line="360" w:lineRule="auto"/>
        <w:ind w:firstLine="630" w:firstLineChars="300"/>
        <w:outlineLvl w:val="3"/>
        <w:rPr>
          <w:rFonts w:ascii="宋体"/>
        </w:rPr>
      </w:pPr>
      <w:bookmarkStart w:id="3682" w:name="_Toc497235710"/>
      <w:r>
        <w:rPr>
          <w:rFonts w:ascii="宋体" w:hAnsi="宋体"/>
        </w:rPr>
        <w:t xml:space="preserve">14.1.6  </w:t>
      </w:r>
      <w:r>
        <w:rPr>
          <w:rFonts w:hint="eastAsia" w:ascii="宋体" w:hAnsi="宋体"/>
        </w:rPr>
        <w:t>竣工付款申请单和最终结清申请单应当比照进度付款申请单的格式准备，并提供相关证明材料。</w:t>
      </w:r>
      <w:bookmarkEnd w:id="3682"/>
    </w:p>
    <w:p>
      <w:pPr>
        <w:pStyle w:val="155"/>
        <w:spacing w:before="120" w:after="120"/>
      </w:pPr>
      <w:bookmarkStart w:id="3683" w:name="_Toc489280061"/>
      <w:bookmarkStart w:id="3684" w:name="_Toc483580938"/>
      <w:bookmarkStart w:id="3685" w:name="_Toc486580251"/>
      <w:bookmarkStart w:id="3686" w:name="_Toc117350620"/>
      <w:r>
        <w:t xml:space="preserve">14.2  </w:t>
      </w:r>
      <w:r>
        <w:rPr>
          <w:rFonts w:hint="eastAsia"/>
        </w:rPr>
        <w:t>其他约定</w:t>
      </w:r>
      <w:bookmarkEnd w:id="3683"/>
      <w:bookmarkEnd w:id="3684"/>
      <w:bookmarkEnd w:id="3685"/>
      <w:bookmarkEnd w:id="3686"/>
    </w:p>
    <w:p>
      <w:pPr>
        <w:spacing w:line="360" w:lineRule="auto"/>
        <w:ind w:firstLine="420" w:firstLineChars="200"/>
        <w:rPr>
          <w:rFonts w:ascii="宋体"/>
        </w:rPr>
      </w:pPr>
      <w:r>
        <w:rPr>
          <w:rFonts w:hint="eastAsia" w:ascii="宋体" w:hAnsi="宋体"/>
        </w:rPr>
        <w:t>其他约定内容</w:t>
      </w:r>
      <w:r>
        <w:rPr>
          <w:rFonts w:hint="eastAsia" w:ascii="黑体" w:hAnsi="黑体" w:eastAsia="黑体"/>
        </w:rPr>
        <w:t>见技术标准和要求专用部分。</w:t>
      </w:r>
    </w:p>
    <w:p>
      <w:pPr>
        <w:pStyle w:val="144"/>
        <w:spacing w:before="120" w:after="120"/>
      </w:pPr>
      <w:bookmarkStart w:id="3687" w:name="_Toc486580252"/>
      <w:bookmarkStart w:id="3688" w:name="_Toc489280062"/>
      <w:bookmarkStart w:id="3689" w:name="_Toc490222666"/>
      <w:bookmarkStart w:id="3690" w:name="_Toc483580939"/>
      <w:bookmarkStart w:id="3691" w:name="_Toc117350621"/>
      <w:r>
        <w:t>15.</w:t>
      </w:r>
      <w:r>
        <w:rPr>
          <w:rFonts w:hint="eastAsia"/>
        </w:rPr>
        <w:t>竣工验收和工程移交</w:t>
      </w:r>
      <w:bookmarkEnd w:id="3687"/>
      <w:bookmarkEnd w:id="3688"/>
      <w:bookmarkEnd w:id="3689"/>
      <w:bookmarkEnd w:id="3690"/>
      <w:bookmarkEnd w:id="3691"/>
    </w:p>
    <w:p>
      <w:pPr>
        <w:pStyle w:val="155"/>
        <w:spacing w:before="120" w:after="120"/>
      </w:pPr>
      <w:bookmarkStart w:id="3692" w:name="_Toc486580253"/>
      <w:bookmarkStart w:id="3693" w:name="_Toc483580940"/>
      <w:bookmarkStart w:id="3694" w:name="_Toc489280063"/>
      <w:bookmarkStart w:id="3695" w:name="_Toc117350622"/>
      <w:r>
        <w:t xml:space="preserve">15.1  </w:t>
      </w:r>
      <w:r>
        <w:rPr>
          <w:rFonts w:hint="eastAsia"/>
        </w:rPr>
        <w:t>竣工验收前的清理</w:t>
      </w:r>
      <w:bookmarkEnd w:id="3692"/>
      <w:bookmarkEnd w:id="3693"/>
      <w:bookmarkEnd w:id="3694"/>
      <w:bookmarkEnd w:id="3695"/>
    </w:p>
    <w:p>
      <w:pPr>
        <w:spacing w:line="360" w:lineRule="auto"/>
        <w:ind w:firstLine="630" w:firstLineChars="300"/>
        <w:outlineLvl w:val="3"/>
        <w:rPr>
          <w:rFonts w:ascii="宋体"/>
        </w:rPr>
      </w:pPr>
      <w:bookmarkStart w:id="3696" w:name="_Toc497235714"/>
      <w:r>
        <w:rPr>
          <w:rFonts w:ascii="宋体" w:hAnsi="宋体"/>
        </w:rPr>
        <w:t xml:space="preserve">15.1.1  </w:t>
      </w:r>
      <w:r>
        <w:rPr>
          <w:rFonts w:hint="eastAsia" w:ascii="宋体" w:hAnsi="宋体"/>
        </w:rPr>
        <w:t>在向监理人提交竣工验收申请报告前，承包人应当完成竣工验收前的清理工作，包括但不限于：</w:t>
      </w:r>
      <w:bookmarkEnd w:id="3696"/>
    </w:p>
    <w:p>
      <w:pPr>
        <w:spacing w:line="360" w:lineRule="auto"/>
        <w:ind w:firstLine="630" w:firstLineChars="300"/>
        <w:outlineLvl w:val="3"/>
        <w:rPr>
          <w:rFonts w:ascii="宋体"/>
        </w:rPr>
      </w:pPr>
      <w:bookmarkStart w:id="3697" w:name="_Toc497235715"/>
      <w:r>
        <w:rPr>
          <w:rFonts w:hint="eastAsia" w:ascii="宋体" w:hAnsi="宋体"/>
        </w:rPr>
        <w:t>（</w:t>
      </w:r>
      <w:r>
        <w:rPr>
          <w:rFonts w:ascii="宋体" w:hAnsi="宋体"/>
        </w:rPr>
        <w:t>1</w:t>
      </w:r>
      <w:r>
        <w:rPr>
          <w:rFonts w:hint="eastAsia" w:ascii="宋体" w:hAnsi="宋体"/>
        </w:rPr>
        <w:t>）从永久工程内清除所有剩余材料、杂物、垃圾等等；</w:t>
      </w:r>
      <w:bookmarkEnd w:id="3697"/>
    </w:p>
    <w:p>
      <w:pPr>
        <w:spacing w:line="360" w:lineRule="auto"/>
        <w:ind w:firstLine="630" w:firstLineChars="300"/>
        <w:outlineLvl w:val="3"/>
        <w:rPr>
          <w:rFonts w:ascii="宋体"/>
        </w:rPr>
      </w:pPr>
      <w:bookmarkStart w:id="3698" w:name="_Toc497235716"/>
      <w:r>
        <w:rPr>
          <w:rFonts w:hint="eastAsia" w:ascii="宋体" w:hAnsi="宋体"/>
        </w:rPr>
        <w:t>（</w:t>
      </w:r>
      <w:r>
        <w:rPr>
          <w:rFonts w:ascii="宋体" w:hAnsi="宋体"/>
        </w:rPr>
        <w:t>2</w:t>
      </w:r>
      <w:r>
        <w:rPr>
          <w:rFonts w:hint="eastAsia" w:ascii="宋体" w:hAnsi="宋体"/>
        </w:rPr>
        <w:t>）清洗工程的所有地面、墙面、楼面、路面等表面；</w:t>
      </w:r>
      <w:bookmarkEnd w:id="3698"/>
    </w:p>
    <w:p>
      <w:pPr>
        <w:spacing w:line="360" w:lineRule="auto"/>
        <w:ind w:firstLine="630" w:firstLineChars="300"/>
        <w:outlineLvl w:val="3"/>
        <w:rPr>
          <w:rFonts w:ascii="宋体"/>
        </w:rPr>
      </w:pPr>
      <w:bookmarkStart w:id="3699" w:name="_Toc497235717"/>
      <w:r>
        <w:rPr>
          <w:rFonts w:hint="eastAsia" w:ascii="宋体" w:hAnsi="宋体"/>
        </w:rPr>
        <w:t>（</w:t>
      </w:r>
      <w:r>
        <w:rPr>
          <w:rFonts w:ascii="宋体" w:hAnsi="宋体"/>
        </w:rPr>
        <w:t>3</w:t>
      </w:r>
      <w:r>
        <w:rPr>
          <w:rFonts w:hint="eastAsia" w:ascii="宋体" w:hAnsi="宋体"/>
        </w:rPr>
        <w:t>）清洗和擦洗所有玻璃、磁砖、石材和所有金属面；</w:t>
      </w:r>
      <w:bookmarkEnd w:id="3699"/>
    </w:p>
    <w:p>
      <w:pPr>
        <w:spacing w:line="360" w:lineRule="auto"/>
        <w:ind w:firstLine="630" w:firstLineChars="300"/>
        <w:outlineLvl w:val="3"/>
        <w:rPr>
          <w:rFonts w:ascii="宋体"/>
        </w:rPr>
      </w:pPr>
      <w:bookmarkStart w:id="3700" w:name="_Toc497235718"/>
      <w:r>
        <w:rPr>
          <w:rFonts w:hint="eastAsia" w:ascii="宋体" w:hAnsi="宋体"/>
        </w:rPr>
        <w:t>（</w:t>
      </w:r>
      <w:r>
        <w:rPr>
          <w:rFonts w:ascii="宋体" w:hAnsi="宋体"/>
        </w:rPr>
        <w:t>4</w:t>
      </w:r>
      <w:r>
        <w:rPr>
          <w:rFonts w:hint="eastAsia" w:ascii="宋体" w:hAnsi="宋体"/>
        </w:rPr>
        <w:t>）修缮所有损坏、清除所有污迹、替换所有需更换的材料；</w:t>
      </w:r>
      <w:bookmarkEnd w:id="3700"/>
    </w:p>
    <w:p>
      <w:pPr>
        <w:spacing w:line="360" w:lineRule="auto"/>
        <w:ind w:firstLine="630" w:firstLineChars="300"/>
        <w:outlineLvl w:val="3"/>
        <w:rPr>
          <w:rFonts w:ascii="宋体"/>
        </w:rPr>
      </w:pPr>
      <w:bookmarkStart w:id="3701" w:name="_Toc497235719"/>
      <w:r>
        <w:rPr>
          <w:rFonts w:hint="eastAsia" w:ascii="宋体" w:hAnsi="宋体"/>
        </w:rPr>
        <w:t>（</w:t>
      </w:r>
      <w:r>
        <w:rPr>
          <w:rFonts w:ascii="宋体" w:hAnsi="宋体"/>
        </w:rPr>
        <w:t>5</w:t>
      </w:r>
      <w:r>
        <w:rPr>
          <w:rFonts w:hint="eastAsia" w:ascii="宋体" w:hAnsi="宋体"/>
        </w:rPr>
        <w:t>）所有表面完成约定的装修和装饰；</w:t>
      </w:r>
      <w:bookmarkEnd w:id="3701"/>
    </w:p>
    <w:p>
      <w:pPr>
        <w:spacing w:line="360" w:lineRule="auto"/>
        <w:ind w:firstLine="630" w:firstLineChars="300"/>
        <w:outlineLvl w:val="3"/>
        <w:rPr>
          <w:rFonts w:ascii="宋体"/>
        </w:rPr>
      </w:pPr>
      <w:bookmarkStart w:id="3702" w:name="_Toc497235720"/>
      <w:r>
        <w:rPr>
          <w:rFonts w:hint="eastAsia" w:ascii="宋体" w:hAnsi="宋体"/>
        </w:rPr>
        <w:t>（</w:t>
      </w:r>
      <w:r>
        <w:rPr>
          <w:rFonts w:ascii="宋体" w:hAnsi="宋体"/>
        </w:rPr>
        <w:t>6</w:t>
      </w:r>
      <w:r>
        <w:rPr>
          <w:rFonts w:hint="eastAsia" w:ascii="宋体" w:hAnsi="宋体"/>
        </w:rPr>
        <w:t>）检查和调试所有的门、窗、抽屉等以确保他们开启的顺畅；</w:t>
      </w:r>
      <w:bookmarkEnd w:id="3702"/>
    </w:p>
    <w:p>
      <w:pPr>
        <w:spacing w:line="360" w:lineRule="auto"/>
        <w:ind w:firstLine="630" w:firstLineChars="300"/>
        <w:outlineLvl w:val="3"/>
        <w:rPr>
          <w:rFonts w:ascii="宋体"/>
        </w:rPr>
      </w:pPr>
      <w:bookmarkStart w:id="3703" w:name="_Toc497235721"/>
      <w:r>
        <w:rPr>
          <w:rFonts w:hint="eastAsia" w:ascii="宋体" w:hAnsi="宋体"/>
        </w:rPr>
        <w:t>（</w:t>
      </w:r>
      <w:r>
        <w:rPr>
          <w:rFonts w:ascii="宋体" w:hAnsi="宋体"/>
        </w:rPr>
        <w:t>7</w:t>
      </w:r>
      <w:r>
        <w:rPr>
          <w:rFonts w:hint="eastAsia" w:ascii="宋体" w:hAnsi="宋体"/>
        </w:rPr>
        <w:t>）检查和调试所有的五金件并上油；</w:t>
      </w:r>
      <w:bookmarkEnd w:id="3703"/>
    </w:p>
    <w:p>
      <w:pPr>
        <w:spacing w:line="360" w:lineRule="auto"/>
        <w:ind w:firstLine="630" w:firstLineChars="300"/>
        <w:outlineLvl w:val="3"/>
        <w:rPr>
          <w:rFonts w:ascii="宋体"/>
        </w:rPr>
      </w:pPr>
      <w:bookmarkStart w:id="3704" w:name="_Toc497235722"/>
      <w:r>
        <w:rPr>
          <w:rFonts w:hint="eastAsia" w:ascii="宋体" w:hAnsi="宋体"/>
        </w:rPr>
        <w:t>（</w:t>
      </w:r>
      <w:r>
        <w:rPr>
          <w:rFonts w:ascii="宋体" w:hAnsi="宋体"/>
        </w:rPr>
        <w:t>8</w:t>
      </w:r>
      <w:r>
        <w:rPr>
          <w:rFonts w:hint="eastAsia" w:ascii="宋体" w:hAnsi="宋体"/>
        </w:rPr>
        <w:t>）检查、测试和确保所有服务系统、设施和设备达到良好的运行状态和效果；</w:t>
      </w:r>
      <w:bookmarkEnd w:id="3704"/>
    </w:p>
    <w:p>
      <w:pPr>
        <w:spacing w:line="360" w:lineRule="auto"/>
        <w:ind w:firstLine="630" w:firstLineChars="300"/>
        <w:outlineLvl w:val="3"/>
        <w:rPr>
          <w:rFonts w:ascii="宋体"/>
        </w:rPr>
      </w:pPr>
      <w:bookmarkStart w:id="3705" w:name="_Toc497235723"/>
      <w:r>
        <w:rPr>
          <w:rFonts w:hint="eastAsia" w:ascii="宋体" w:hAnsi="宋体"/>
        </w:rPr>
        <w:t>（</w:t>
      </w:r>
      <w:r>
        <w:rPr>
          <w:rFonts w:ascii="宋体" w:hAnsi="宋体"/>
        </w:rPr>
        <w:t>9</w:t>
      </w:r>
      <w:r>
        <w:rPr>
          <w:rFonts w:hint="eastAsia" w:ascii="宋体" w:hAnsi="宋体"/>
        </w:rPr>
        <w:t>）所有钥匙（如果有）贴上标签并固定到钥匙排上随时可以交给监理人。</w:t>
      </w:r>
      <w:bookmarkEnd w:id="3705"/>
    </w:p>
    <w:p>
      <w:pPr>
        <w:spacing w:line="360" w:lineRule="auto"/>
        <w:ind w:firstLine="630" w:firstLineChars="300"/>
        <w:outlineLvl w:val="3"/>
        <w:rPr>
          <w:rFonts w:ascii="宋体"/>
        </w:rPr>
      </w:pPr>
      <w:bookmarkStart w:id="3706" w:name="_Toc497235724"/>
      <w:r>
        <w:rPr>
          <w:rFonts w:ascii="宋体" w:hAnsi="宋体"/>
        </w:rPr>
        <w:t xml:space="preserve">15.1.2   </w:t>
      </w:r>
      <w:r>
        <w:rPr>
          <w:rFonts w:hint="eastAsia" w:ascii="宋体" w:hAnsi="宋体"/>
        </w:rPr>
        <w:t>清理工作所需费用由承包人承担。</w:t>
      </w:r>
      <w:bookmarkEnd w:id="3706"/>
    </w:p>
    <w:p>
      <w:pPr>
        <w:pStyle w:val="155"/>
        <w:spacing w:before="120" w:after="120"/>
      </w:pPr>
      <w:bookmarkStart w:id="3707" w:name="_Toc486580254"/>
      <w:bookmarkStart w:id="3708" w:name="_Toc489280064"/>
      <w:bookmarkStart w:id="3709" w:name="_Toc483580941"/>
      <w:bookmarkStart w:id="3710" w:name="_Toc117350623"/>
      <w:r>
        <w:t xml:space="preserve">15.2  </w:t>
      </w:r>
      <w:r>
        <w:rPr>
          <w:rFonts w:hint="eastAsia"/>
        </w:rPr>
        <w:t>竣工验收申请报告</w:t>
      </w:r>
      <w:bookmarkEnd w:id="3707"/>
      <w:bookmarkEnd w:id="3708"/>
      <w:bookmarkEnd w:id="3709"/>
      <w:bookmarkEnd w:id="3710"/>
    </w:p>
    <w:p>
      <w:pPr>
        <w:spacing w:line="360" w:lineRule="auto"/>
        <w:ind w:firstLine="630" w:firstLineChars="300"/>
        <w:outlineLvl w:val="3"/>
        <w:rPr>
          <w:rFonts w:ascii="宋体"/>
        </w:rPr>
      </w:pPr>
      <w:bookmarkStart w:id="3711" w:name="_Toc497235726"/>
      <w:r>
        <w:rPr>
          <w:rFonts w:ascii="宋体" w:hAnsi="宋体"/>
        </w:rPr>
        <w:t>15.2.1</w:t>
      </w:r>
      <w:r>
        <w:rPr>
          <w:rFonts w:hint="eastAsia" w:ascii="宋体" w:hAnsi="宋体"/>
        </w:rPr>
        <w:t>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bookmarkEnd w:id="3711"/>
    </w:p>
    <w:p>
      <w:pPr>
        <w:spacing w:line="360" w:lineRule="auto"/>
        <w:ind w:firstLine="630" w:firstLineChars="300"/>
        <w:outlineLvl w:val="3"/>
        <w:rPr>
          <w:rFonts w:ascii="宋体"/>
        </w:rPr>
      </w:pPr>
      <w:bookmarkStart w:id="3712" w:name="_Toc497235727"/>
      <w:r>
        <w:rPr>
          <w:rFonts w:ascii="宋体" w:hAnsi="宋体"/>
        </w:rPr>
        <w:t xml:space="preserve">15.2.2  </w:t>
      </w:r>
      <w:r>
        <w:rPr>
          <w:rFonts w:hint="eastAsia" w:ascii="宋体" w:hAnsi="宋体"/>
        </w:rPr>
        <w:t>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bookmarkEnd w:id="3712"/>
    </w:p>
    <w:p>
      <w:pPr>
        <w:spacing w:line="360" w:lineRule="auto"/>
        <w:ind w:firstLine="630" w:firstLineChars="300"/>
        <w:outlineLvl w:val="3"/>
        <w:rPr>
          <w:rFonts w:ascii="宋体"/>
        </w:rPr>
      </w:pPr>
      <w:bookmarkStart w:id="3713" w:name="_Toc497235728"/>
      <w:r>
        <w:rPr>
          <w:rFonts w:ascii="宋体" w:hAnsi="宋体"/>
        </w:rPr>
        <w:t xml:space="preserve">15.2.3  </w:t>
      </w:r>
      <w:r>
        <w:rPr>
          <w:rFonts w:hint="eastAsia" w:ascii="宋体" w:hAnsi="宋体"/>
        </w:rPr>
        <w:t>竣工验收申请报告应当按合同条款第</w:t>
      </w:r>
      <w:r>
        <w:rPr>
          <w:rFonts w:ascii="宋体" w:hAnsi="宋体"/>
        </w:rPr>
        <w:t>18.2</w:t>
      </w:r>
      <w:r>
        <w:rPr>
          <w:rFonts w:hint="eastAsia" w:ascii="宋体" w:hAnsi="宋体"/>
        </w:rPr>
        <w:t>款附上下列内容：</w:t>
      </w:r>
      <w:bookmarkEnd w:id="3713"/>
    </w:p>
    <w:p>
      <w:pPr>
        <w:spacing w:line="360" w:lineRule="auto"/>
        <w:ind w:firstLine="630" w:firstLineChars="300"/>
        <w:outlineLvl w:val="3"/>
        <w:rPr>
          <w:rFonts w:ascii="宋体"/>
        </w:rPr>
      </w:pPr>
      <w:bookmarkStart w:id="3714" w:name="_Toc497235729"/>
      <w:r>
        <w:rPr>
          <w:rFonts w:hint="eastAsia" w:ascii="宋体" w:hAnsi="宋体"/>
        </w:rPr>
        <w:t>（</w:t>
      </w:r>
      <w:r>
        <w:rPr>
          <w:rFonts w:ascii="宋体" w:hAnsi="宋体"/>
        </w:rPr>
        <w:t>1</w:t>
      </w:r>
      <w:r>
        <w:rPr>
          <w:rFonts w:hint="eastAsia" w:ascii="宋体" w:hAnsi="宋体"/>
        </w:rPr>
        <w:t>）承包人的自行检查和评定记录文件，即除监理人同意列入缺陷责任期内完成的尾工（甩项）工程和缺陷修补工作外，合同范围内的全部单位工程以及有关工作，包括合同要求的试验、试运行以及检验和验收均已完成，并符合合同要求；</w:t>
      </w:r>
      <w:bookmarkEnd w:id="3714"/>
    </w:p>
    <w:p>
      <w:pPr>
        <w:spacing w:line="360" w:lineRule="auto"/>
        <w:ind w:firstLine="630" w:firstLineChars="300"/>
        <w:outlineLvl w:val="3"/>
        <w:rPr>
          <w:rFonts w:ascii="宋体"/>
        </w:rPr>
      </w:pPr>
      <w:bookmarkStart w:id="3715" w:name="_Toc497235730"/>
      <w:r>
        <w:rPr>
          <w:rFonts w:hint="eastAsia" w:ascii="宋体" w:hAnsi="宋体"/>
        </w:rPr>
        <w:t>（</w:t>
      </w:r>
      <w:r>
        <w:rPr>
          <w:rFonts w:ascii="宋体" w:hAnsi="宋体"/>
        </w:rPr>
        <w:t>2</w:t>
      </w:r>
      <w:r>
        <w:rPr>
          <w:rFonts w:hint="eastAsia" w:ascii="宋体" w:hAnsi="宋体"/>
        </w:rPr>
        <w:t>）</w:t>
      </w:r>
      <w:r>
        <w:rPr>
          <w:rFonts w:ascii="宋体"/>
        </w:rPr>
        <w:tab/>
      </w:r>
      <w:r>
        <w:rPr>
          <w:rFonts w:hint="eastAsia" w:ascii="宋体" w:hAnsi="宋体"/>
        </w:rPr>
        <w:t>按合同条款第</w:t>
      </w:r>
      <w:r>
        <w:rPr>
          <w:rFonts w:ascii="宋体" w:hAnsi="宋体"/>
        </w:rPr>
        <w:t>18.2</w:t>
      </w:r>
      <w:r>
        <w:rPr>
          <w:rFonts w:hint="eastAsia" w:ascii="宋体" w:hAnsi="宋体"/>
        </w:rPr>
        <w:t>（</w:t>
      </w:r>
      <w:r>
        <w:rPr>
          <w:rFonts w:ascii="宋体" w:hAnsi="宋体"/>
        </w:rPr>
        <w:t>2</w:t>
      </w:r>
      <w:r>
        <w:rPr>
          <w:rFonts w:hint="eastAsia" w:ascii="宋体" w:hAnsi="宋体"/>
        </w:rPr>
        <w:t>）目约定的内容和份数整理的符合要求的竣工资料；</w:t>
      </w:r>
      <w:bookmarkEnd w:id="3715"/>
    </w:p>
    <w:p>
      <w:pPr>
        <w:spacing w:line="360" w:lineRule="auto"/>
        <w:ind w:firstLine="630" w:firstLineChars="300"/>
        <w:outlineLvl w:val="3"/>
        <w:rPr>
          <w:rFonts w:ascii="宋体"/>
        </w:rPr>
      </w:pPr>
      <w:bookmarkStart w:id="3716" w:name="_Toc497235731"/>
      <w:r>
        <w:rPr>
          <w:rFonts w:hint="eastAsia" w:ascii="宋体" w:hAnsi="宋体"/>
        </w:rPr>
        <w:t>（</w:t>
      </w:r>
      <w:r>
        <w:rPr>
          <w:rFonts w:ascii="宋体" w:hAnsi="宋体"/>
        </w:rPr>
        <w:t>3</w:t>
      </w:r>
      <w:r>
        <w:rPr>
          <w:rFonts w:hint="eastAsia" w:ascii="宋体" w:hAnsi="宋体"/>
        </w:rPr>
        <w:t>）</w:t>
      </w:r>
      <w:r>
        <w:rPr>
          <w:rFonts w:ascii="宋体"/>
        </w:rPr>
        <w:tab/>
      </w:r>
      <w:r>
        <w:rPr>
          <w:rFonts w:hint="eastAsia" w:ascii="宋体" w:hAnsi="宋体"/>
        </w:rPr>
        <w:t>按监理人的要求编制了在缺陷责任期内完成的尾工（甩项）工程和缺陷修补工作清单以及相应施工计划；</w:t>
      </w:r>
      <w:bookmarkEnd w:id="3716"/>
    </w:p>
    <w:p>
      <w:pPr>
        <w:spacing w:line="360" w:lineRule="auto"/>
        <w:ind w:firstLine="630" w:firstLineChars="300"/>
        <w:outlineLvl w:val="3"/>
        <w:rPr>
          <w:rFonts w:ascii="宋体"/>
        </w:rPr>
      </w:pPr>
      <w:bookmarkStart w:id="3717" w:name="_Toc497235732"/>
      <w:r>
        <w:rPr>
          <w:rFonts w:hint="eastAsia" w:ascii="宋体" w:hAnsi="宋体"/>
        </w:rPr>
        <w:t>（</w:t>
      </w:r>
      <w:r>
        <w:rPr>
          <w:rFonts w:ascii="宋体" w:hAnsi="宋体"/>
        </w:rPr>
        <w:t>4</w:t>
      </w:r>
      <w:r>
        <w:rPr>
          <w:rFonts w:hint="eastAsia" w:ascii="宋体" w:hAnsi="宋体"/>
        </w:rPr>
        <w:t>）</w:t>
      </w:r>
      <w:r>
        <w:rPr>
          <w:rFonts w:ascii="宋体"/>
        </w:rPr>
        <w:tab/>
      </w:r>
      <w:r>
        <w:rPr>
          <w:rFonts w:hint="eastAsia" w:ascii="宋体" w:hAnsi="宋体"/>
        </w:rPr>
        <w:t>监理人要求在竣工验收前应完成的其他工作的证明材料；</w:t>
      </w:r>
      <w:bookmarkEnd w:id="3717"/>
    </w:p>
    <w:p>
      <w:pPr>
        <w:spacing w:line="360" w:lineRule="auto"/>
        <w:ind w:firstLine="630" w:firstLineChars="300"/>
        <w:outlineLvl w:val="3"/>
        <w:rPr>
          <w:rFonts w:ascii="宋体"/>
        </w:rPr>
      </w:pPr>
      <w:bookmarkStart w:id="3718" w:name="_Toc497235733"/>
      <w:r>
        <w:rPr>
          <w:rFonts w:hint="eastAsia" w:ascii="宋体" w:hAnsi="宋体"/>
        </w:rPr>
        <w:t>（</w:t>
      </w:r>
      <w:r>
        <w:rPr>
          <w:rFonts w:ascii="宋体" w:hAnsi="宋体"/>
        </w:rPr>
        <w:t>5</w:t>
      </w:r>
      <w:r>
        <w:rPr>
          <w:rFonts w:hint="eastAsia" w:ascii="宋体" w:hAnsi="宋体"/>
        </w:rPr>
        <w:t>）</w:t>
      </w:r>
      <w:r>
        <w:rPr>
          <w:rFonts w:ascii="宋体"/>
        </w:rPr>
        <w:tab/>
      </w:r>
      <w:r>
        <w:rPr>
          <w:rFonts w:hint="eastAsia" w:ascii="宋体" w:hAnsi="宋体"/>
        </w:rPr>
        <w:t>监理人要求提交的竣工验收资料清单；</w:t>
      </w:r>
      <w:bookmarkEnd w:id="3718"/>
    </w:p>
    <w:p>
      <w:pPr>
        <w:spacing w:line="360" w:lineRule="auto"/>
        <w:ind w:firstLine="630" w:firstLineChars="300"/>
        <w:outlineLvl w:val="3"/>
        <w:rPr>
          <w:rFonts w:ascii="宋体"/>
        </w:rPr>
      </w:pPr>
      <w:bookmarkStart w:id="3719" w:name="_Toc497235734"/>
      <w:r>
        <w:rPr>
          <w:rFonts w:hint="eastAsia" w:ascii="宋体" w:hAnsi="宋体"/>
        </w:rPr>
        <w:t>（</w:t>
      </w:r>
      <w:r>
        <w:rPr>
          <w:rFonts w:ascii="宋体" w:hAnsi="宋体"/>
        </w:rPr>
        <w:t>6</w:t>
      </w:r>
      <w:r>
        <w:rPr>
          <w:rFonts w:hint="eastAsia" w:ascii="宋体" w:hAnsi="宋体"/>
        </w:rPr>
        <w:t>）</w:t>
      </w:r>
      <w:r>
        <w:rPr>
          <w:rFonts w:ascii="宋体"/>
        </w:rPr>
        <w:tab/>
      </w:r>
      <w:r>
        <w:rPr>
          <w:rFonts w:hint="eastAsia" w:ascii="宋体" w:hAnsi="宋体"/>
        </w:rPr>
        <w:t>合同条款第</w:t>
      </w:r>
      <w:r>
        <w:rPr>
          <w:rFonts w:ascii="宋体" w:hAnsi="宋体"/>
        </w:rPr>
        <w:t>18.4.1</w:t>
      </w:r>
      <w:r>
        <w:rPr>
          <w:rFonts w:hint="eastAsia" w:ascii="宋体" w:hAnsi="宋体"/>
        </w:rPr>
        <w:t>项约定的单位工程竣工验收成果和结论文件（如果有）；</w:t>
      </w:r>
      <w:bookmarkEnd w:id="3719"/>
    </w:p>
    <w:p>
      <w:pPr>
        <w:spacing w:line="360" w:lineRule="auto"/>
        <w:ind w:firstLine="630" w:firstLineChars="300"/>
        <w:outlineLvl w:val="3"/>
        <w:rPr>
          <w:rFonts w:ascii="宋体"/>
        </w:rPr>
      </w:pPr>
      <w:bookmarkStart w:id="3720" w:name="_Toc497235735"/>
      <w:r>
        <w:rPr>
          <w:rFonts w:hint="eastAsia" w:ascii="宋体" w:hAnsi="宋体"/>
        </w:rPr>
        <w:t>（</w:t>
      </w:r>
      <w:r>
        <w:rPr>
          <w:rFonts w:ascii="宋体" w:hAnsi="宋体"/>
        </w:rPr>
        <w:t>7</w:t>
      </w:r>
      <w:r>
        <w:rPr>
          <w:rFonts w:hint="eastAsia" w:ascii="宋体" w:hAnsi="宋体"/>
        </w:rPr>
        <w:t>）</w:t>
      </w:r>
      <w:r>
        <w:rPr>
          <w:rFonts w:ascii="宋体"/>
        </w:rPr>
        <w:tab/>
      </w:r>
      <w:r>
        <w:rPr>
          <w:rFonts w:hint="eastAsia" w:ascii="宋体" w:hAnsi="宋体"/>
        </w:rPr>
        <w:t>合同条款第</w:t>
      </w:r>
      <w:r>
        <w:rPr>
          <w:rFonts w:ascii="宋体" w:hAnsi="宋体"/>
        </w:rPr>
        <w:t>19.7</w:t>
      </w:r>
      <w:r>
        <w:rPr>
          <w:rFonts w:hint="eastAsia" w:ascii="宋体" w:hAnsi="宋体"/>
        </w:rPr>
        <w:t>款约定的质量保修书（此前已经提交的不再提交）；</w:t>
      </w:r>
      <w:bookmarkEnd w:id="3720"/>
    </w:p>
    <w:p>
      <w:pPr>
        <w:spacing w:line="360" w:lineRule="auto"/>
        <w:ind w:firstLine="630" w:firstLineChars="300"/>
        <w:outlineLvl w:val="3"/>
        <w:rPr>
          <w:rFonts w:ascii="宋体"/>
        </w:rPr>
      </w:pPr>
      <w:bookmarkStart w:id="3721" w:name="_Toc497235736"/>
      <w:r>
        <w:rPr>
          <w:rFonts w:hint="eastAsia" w:ascii="宋体" w:hAnsi="宋体"/>
        </w:rPr>
        <w:t>（</w:t>
      </w:r>
      <w:r>
        <w:rPr>
          <w:rFonts w:ascii="宋体" w:hAnsi="宋体"/>
        </w:rPr>
        <w:t>8</w:t>
      </w:r>
      <w:r>
        <w:rPr>
          <w:rFonts w:hint="eastAsia" w:ascii="宋体" w:hAnsi="宋体"/>
        </w:rPr>
        <w:t>）</w:t>
      </w:r>
      <w:r>
        <w:rPr>
          <w:rFonts w:ascii="宋体"/>
        </w:rPr>
        <w:tab/>
      </w:r>
      <w:r>
        <w:rPr>
          <w:rFonts w:hint="eastAsia" w:ascii="宋体" w:hAnsi="宋体"/>
        </w:rPr>
        <w:t>其他要求</w:t>
      </w:r>
      <w:r>
        <w:rPr>
          <w:rFonts w:hint="eastAsia" w:ascii="黑体" w:hAnsi="黑体" w:eastAsia="黑体"/>
        </w:rPr>
        <w:t>见技术标准和要求专用部分。</w:t>
      </w:r>
      <w:bookmarkEnd w:id="3721"/>
    </w:p>
    <w:p>
      <w:pPr>
        <w:pStyle w:val="155"/>
        <w:spacing w:before="120" w:after="120"/>
      </w:pPr>
      <w:bookmarkStart w:id="3722" w:name="_Toc489280065"/>
      <w:bookmarkStart w:id="3723" w:name="_Toc483580942"/>
      <w:bookmarkStart w:id="3724" w:name="_Toc486580255"/>
      <w:bookmarkStart w:id="3725" w:name="_Toc117350624"/>
      <w:r>
        <w:t xml:space="preserve">15.3  </w:t>
      </w:r>
      <w:r>
        <w:rPr>
          <w:rFonts w:hint="eastAsia"/>
        </w:rPr>
        <w:t>竣工清场</w:t>
      </w:r>
      <w:bookmarkEnd w:id="3722"/>
      <w:bookmarkEnd w:id="3723"/>
      <w:bookmarkEnd w:id="3724"/>
      <w:bookmarkEnd w:id="3725"/>
    </w:p>
    <w:p>
      <w:pPr>
        <w:spacing w:line="360" w:lineRule="auto"/>
        <w:ind w:firstLine="420" w:firstLineChars="200"/>
        <w:outlineLvl w:val="3"/>
        <w:rPr>
          <w:rFonts w:ascii="宋体"/>
        </w:rPr>
      </w:pPr>
      <w:bookmarkStart w:id="3726" w:name="_Toc497235738"/>
      <w:r>
        <w:rPr>
          <w:rFonts w:hint="eastAsia" w:ascii="宋体" w:hAnsi="宋体"/>
        </w:rPr>
        <w:t>监理人颁发（出具）工程接收证书后，承包人应在</w:t>
      </w:r>
      <w:r>
        <w:rPr>
          <w:rFonts w:ascii="宋体" w:hAnsi="宋体"/>
        </w:rPr>
        <w:t>56</w:t>
      </w:r>
      <w:r>
        <w:rPr>
          <w:rFonts w:hint="eastAsia" w:ascii="宋体" w:hAnsi="宋体"/>
        </w:rPr>
        <w:t>天内按以下要求对施工场地（现场）进行清理：</w:t>
      </w:r>
      <w:bookmarkEnd w:id="3726"/>
    </w:p>
    <w:p>
      <w:pPr>
        <w:spacing w:line="360" w:lineRule="auto"/>
        <w:ind w:firstLine="630" w:firstLineChars="300"/>
        <w:outlineLvl w:val="3"/>
        <w:rPr>
          <w:rFonts w:ascii="宋体"/>
        </w:rPr>
      </w:pPr>
      <w:bookmarkStart w:id="3727" w:name="_Toc497235739"/>
      <w:r>
        <w:rPr>
          <w:rFonts w:hint="eastAsia" w:ascii="宋体" w:hAnsi="宋体"/>
        </w:rPr>
        <w:t>（</w:t>
      </w:r>
      <w:r>
        <w:rPr>
          <w:rFonts w:ascii="宋体" w:hAnsi="宋体"/>
        </w:rPr>
        <w:t>1</w:t>
      </w:r>
      <w:r>
        <w:rPr>
          <w:rFonts w:hint="eastAsia" w:ascii="宋体" w:hAnsi="宋体"/>
        </w:rPr>
        <w:t>）从施工场地（现场）清除所有杂物和垃圾等等；</w:t>
      </w:r>
      <w:bookmarkEnd w:id="3727"/>
    </w:p>
    <w:p>
      <w:pPr>
        <w:spacing w:line="360" w:lineRule="auto"/>
        <w:ind w:firstLine="630" w:firstLineChars="300"/>
        <w:outlineLvl w:val="3"/>
        <w:rPr>
          <w:rFonts w:ascii="宋体"/>
        </w:rPr>
      </w:pPr>
      <w:bookmarkStart w:id="3728" w:name="_Toc497235740"/>
      <w:r>
        <w:rPr>
          <w:rFonts w:hint="eastAsia" w:ascii="宋体" w:hAnsi="宋体"/>
        </w:rPr>
        <w:t>（</w:t>
      </w:r>
      <w:r>
        <w:rPr>
          <w:rFonts w:ascii="宋体" w:hAnsi="宋体"/>
        </w:rPr>
        <w:t>2</w:t>
      </w:r>
      <w:r>
        <w:rPr>
          <w:rFonts w:hint="eastAsia" w:ascii="宋体" w:hAnsi="宋体"/>
        </w:rPr>
        <w:t>）从施工场地现场拆除所有的临时工程和临时设施并恢复地面原状，但经监理人批准的护坡桩、锚杆、塔吊基础和无法拆除的埋入式模板等无法拆除的临时设施除外；</w:t>
      </w:r>
      <w:bookmarkEnd w:id="3728"/>
    </w:p>
    <w:p>
      <w:pPr>
        <w:spacing w:line="360" w:lineRule="auto"/>
        <w:ind w:firstLine="630" w:firstLineChars="300"/>
        <w:outlineLvl w:val="3"/>
        <w:rPr>
          <w:rFonts w:ascii="宋体"/>
        </w:rPr>
      </w:pPr>
      <w:bookmarkStart w:id="3729" w:name="_Toc497235741"/>
      <w:r>
        <w:rPr>
          <w:rFonts w:hint="eastAsia" w:ascii="宋体" w:hAnsi="宋体"/>
        </w:rPr>
        <w:t>（</w:t>
      </w:r>
      <w:r>
        <w:rPr>
          <w:rFonts w:ascii="宋体" w:hAnsi="宋体"/>
        </w:rPr>
        <w:t>3</w:t>
      </w:r>
      <w:r>
        <w:rPr>
          <w:rFonts w:hint="eastAsia" w:ascii="宋体" w:hAnsi="宋体"/>
        </w:rPr>
        <w:t>）撤离所有承包人施工设备和剩余材料（经监理人同意需在缺陷责任期内继续使用的除外）；</w:t>
      </w:r>
      <w:bookmarkEnd w:id="3729"/>
    </w:p>
    <w:p>
      <w:pPr>
        <w:spacing w:line="360" w:lineRule="auto"/>
        <w:ind w:firstLine="630" w:firstLineChars="300"/>
        <w:outlineLvl w:val="3"/>
        <w:rPr>
          <w:rFonts w:ascii="宋体"/>
        </w:rPr>
      </w:pPr>
      <w:bookmarkStart w:id="3730" w:name="_Toc497235742"/>
      <w:r>
        <w:rPr>
          <w:rFonts w:hint="eastAsia" w:ascii="宋体" w:hAnsi="宋体"/>
        </w:rPr>
        <w:t>（</w:t>
      </w:r>
      <w:r>
        <w:rPr>
          <w:rFonts w:ascii="宋体" w:hAnsi="宋体"/>
        </w:rPr>
        <w:t>4</w:t>
      </w:r>
      <w:r>
        <w:rPr>
          <w:rFonts w:hint="eastAsia" w:ascii="宋体" w:hAnsi="宋体"/>
        </w:rPr>
        <w:t>）监理人指示的其他清场工作。</w:t>
      </w:r>
      <w:bookmarkEnd w:id="3730"/>
    </w:p>
    <w:p>
      <w:pPr>
        <w:pStyle w:val="144"/>
        <w:spacing w:before="120" w:after="120"/>
      </w:pPr>
      <w:bookmarkStart w:id="3731" w:name="_Toc486580256"/>
      <w:bookmarkStart w:id="3732" w:name="_Toc489280066"/>
      <w:bookmarkStart w:id="3733" w:name="_Toc483580943"/>
      <w:bookmarkStart w:id="3734" w:name="_Toc490222667"/>
      <w:bookmarkStart w:id="3735" w:name="_Toc117350625"/>
      <w:r>
        <w:t>16.</w:t>
      </w:r>
      <w:r>
        <w:rPr>
          <w:rFonts w:hint="eastAsia"/>
        </w:rPr>
        <w:t>需要补充的其他要求</w:t>
      </w:r>
      <w:bookmarkEnd w:id="3731"/>
      <w:bookmarkEnd w:id="3732"/>
      <w:bookmarkEnd w:id="3733"/>
      <w:bookmarkEnd w:id="3734"/>
      <w:bookmarkEnd w:id="3735"/>
    </w:p>
    <w:p>
      <w:pPr>
        <w:spacing w:line="360" w:lineRule="auto"/>
        <w:ind w:firstLine="420" w:firstLineChars="200"/>
        <w:rPr>
          <w:rFonts w:ascii="黑体" w:hAnsi="黑体" w:eastAsia="黑体"/>
        </w:rPr>
      </w:pPr>
      <w:r>
        <w:rPr>
          <w:rFonts w:hint="eastAsia" w:ascii="宋体" w:hAnsi="宋体"/>
        </w:rPr>
        <w:t>需要补充的其他要求</w:t>
      </w:r>
      <w:r>
        <w:rPr>
          <w:rFonts w:hint="eastAsia" w:ascii="黑体" w:hAnsi="黑体" w:eastAsia="黑体"/>
        </w:rPr>
        <w:t>见技术标准和要求专用部分。</w:t>
      </w:r>
    </w:p>
    <w:p>
      <w:pPr>
        <w:spacing w:line="360" w:lineRule="auto"/>
        <w:ind w:firstLine="420" w:firstLineChars="200"/>
        <w:rPr>
          <w:rFonts w:ascii="宋体"/>
        </w:rPr>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br w:type="page"/>
      </w:r>
    </w:p>
    <w:p>
      <w:pPr>
        <w:spacing w:line="360" w:lineRule="auto"/>
      </w:pPr>
    </w:p>
    <w:p>
      <w:pPr>
        <w:spacing w:line="360" w:lineRule="auto"/>
        <w:sectPr>
          <w:headerReference r:id="rId22" w:type="default"/>
          <w:pgSz w:w="11906" w:h="16838"/>
          <w:pgMar w:top="1440" w:right="1797" w:bottom="1440" w:left="1797" w:header="851" w:footer="992" w:gutter="0"/>
          <w:cols w:space="720" w:num="1"/>
          <w:docGrid w:linePitch="286" w:charSpace="0"/>
        </w:sectPr>
      </w:pPr>
    </w:p>
    <w:p>
      <w:pPr>
        <w:pStyle w:val="39"/>
        <w:spacing w:before="3600" w:beforeLines="1500"/>
      </w:pPr>
      <w:bookmarkStart w:id="3736" w:name="_Toc117350626"/>
      <w:bookmarkStart w:id="3737" w:name="_Toc490222668"/>
      <w:bookmarkStart w:id="3738" w:name="_Toc489280067"/>
      <w:bookmarkStart w:id="3739" w:name="_Toc486580257"/>
      <w:r>
        <w:rPr>
          <w:rFonts w:hint="eastAsia"/>
        </w:rPr>
        <w:t>第六章</w:t>
      </w:r>
      <w:r>
        <w:t xml:space="preserve">  </w:t>
      </w:r>
      <w:r>
        <w:rPr>
          <w:rFonts w:hint="eastAsia"/>
        </w:rPr>
        <w:t>工程量清单通用部分</w:t>
      </w:r>
      <w:bookmarkEnd w:id="3736"/>
      <w:bookmarkEnd w:id="3737"/>
      <w:bookmarkEnd w:id="3738"/>
      <w:bookmarkEnd w:id="3739"/>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spacing w:line="360" w:lineRule="auto"/>
        <w:rPr>
          <w:rFonts w:ascii="宋体"/>
        </w:rPr>
      </w:pPr>
      <w:r>
        <w:rPr>
          <w:b/>
          <w:sz w:val="52"/>
          <w:szCs w:val="52"/>
        </w:rPr>
        <w:br w:type="page"/>
      </w:r>
    </w:p>
    <w:p>
      <w:pPr>
        <w:spacing w:line="360" w:lineRule="auto"/>
      </w:pPr>
    </w:p>
    <w:p>
      <w:pPr>
        <w:jc w:val="center"/>
        <w:rPr>
          <w:rFonts w:ascii="宋体"/>
          <w:sz w:val="32"/>
        </w:rPr>
      </w:pPr>
    </w:p>
    <w:p>
      <w:pPr>
        <w:rPr>
          <w:rFonts w:ascii="宋体"/>
          <w:sz w:val="32"/>
        </w:rPr>
      </w:pPr>
    </w:p>
    <w:p>
      <w:pPr>
        <w:rPr>
          <w:rFonts w:ascii="宋体"/>
        </w:rPr>
      </w:pPr>
      <w:bookmarkStart w:id="3740" w:name="_Toc480481052"/>
      <w:r>
        <w:rPr>
          <w:rFonts w:ascii="宋体"/>
        </w:rPr>
        <w:br w:type="page"/>
      </w:r>
    </w:p>
    <w:p>
      <w:pPr>
        <w:jc w:val="center"/>
        <w:rPr>
          <w:b/>
          <w:sz w:val="18"/>
          <w:szCs w:val="18"/>
        </w:rPr>
      </w:pPr>
      <w:bookmarkStart w:id="3741" w:name="_Toc497235745"/>
      <w:bookmarkStart w:id="3742" w:name="_Toc486580258"/>
      <w:bookmarkStart w:id="3743" w:name="_Toc490222669"/>
    </w:p>
    <w:p>
      <w:pPr>
        <w:jc w:val="center"/>
        <w:rPr>
          <w:b/>
          <w:sz w:val="32"/>
          <w:szCs w:val="32"/>
        </w:rPr>
      </w:pPr>
      <w:r>
        <w:rPr>
          <w:rFonts w:hint="eastAsia"/>
          <w:b/>
          <w:sz w:val="32"/>
          <w:szCs w:val="32"/>
        </w:rPr>
        <w:t>第六章</w:t>
      </w:r>
      <w:r>
        <w:rPr>
          <w:b/>
          <w:sz w:val="32"/>
          <w:szCs w:val="32"/>
        </w:rPr>
        <w:t xml:space="preserve"> </w:t>
      </w:r>
      <w:r>
        <w:rPr>
          <w:rFonts w:hint="eastAsia"/>
          <w:b/>
          <w:sz w:val="32"/>
          <w:szCs w:val="32"/>
        </w:rPr>
        <w:t>工程量清单</w:t>
      </w:r>
      <w:bookmarkEnd w:id="3740"/>
      <w:bookmarkEnd w:id="3741"/>
      <w:bookmarkEnd w:id="3742"/>
      <w:bookmarkEnd w:id="3743"/>
    </w:p>
    <w:p>
      <w:pPr>
        <w:spacing w:line="360" w:lineRule="auto"/>
        <w:jc w:val="center"/>
        <w:rPr>
          <w:rFonts w:ascii="黑体" w:hAnsi="黑体" w:eastAsia="黑体"/>
          <w:b/>
          <w:sz w:val="28"/>
          <w:szCs w:val="28"/>
        </w:rPr>
      </w:pPr>
    </w:p>
    <w:p>
      <w:pPr>
        <w:pStyle w:val="144"/>
        <w:spacing w:before="120" w:after="120"/>
      </w:pPr>
      <w:bookmarkStart w:id="3744" w:name="_Toc482634093"/>
      <w:bookmarkStart w:id="3745" w:name="_Toc480481053"/>
      <w:bookmarkStart w:id="3746" w:name="_Toc480481037"/>
      <w:bookmarkStart w:id="3747" w:name="_Toc490222670"/>
      <w:bookmarkStart w:id="3748" w:name="_Toc486580259"/>
      <w:bookmarkStart w:id="3749" w:name="_Toc482634253"/>
      <w:bookmarkStart w:id="3750" w:name="_Toc489280068"/>
      <w:bookmarkStart w:id="3751" w:name="_Toc117350627"/>
      <w:r>
        <w:t>1.</w:t>
      </w:r>
      <w:r>
        <w:rPr>
          <w:rFonts w:hint="eastAsia"/>
        </w:rPr>
        <w:t>工程量清单说明</w:t>
      </w:r>
      <w:bookmarkEnd w:id="3744"/>
      <w:bookmarkEnd w:id="3745"/>
      <w:bookmarkEnd w:id="3746"/>
      <w:bookmarkEnd w:id="3747"/>
      <w:bookmarkEnd w:id="3748"/>
      <w:bookmarkEnd w:id="3749"/>
      <w:bookmarkEnd w:id="3750"/>
      <w:bookmarkEnd w:id="3751"/>
    </w:p>
    <w:p>
      <w:pPr>
        <w:pStyle w:val="155"/>
        <w:spacing w:before="120" w:after="120"/>
      </w:pPr>
      <w:bookmarkStart w:id="3752" w:name="_Toc482634254"/>
      <w:bookmarkStart w:id="3753" w:name="_Toc482634094"/>
      <w:bookmarkStart w:id="3754" w:name="_Toc486580260"/>
      <w:bookmarkStart w:id="3755" w:name="_Toc489280069"/>
      <w:bookmarkStart w:id="3756" w:name="_Toc117350628"/>
      <w:r>
        <w:t xml:space="preserve">1.1  </w:t>
      </w:r>
      <w:r>
        <w:rPr>
          <w:rFonts w:hint="eastAsia"/>
        </w:rPr>
        <w:t>工程量清单编制依据</w:t>
      </w:r>
      <w:bookmarkEnd w:id="3752"/>
      <w:bookmarkEnd w:id="3753"/>
      <w:bookmarkEnd w:id="3754"/>
      <w:bookmarkEnd w:id="3755"/>
      <w:bookmarkEnd w:id="3756"/>
    </w:p>
    <w:p>
      <w:pPr>
        <w:spacing w:line="360" w:lineRule="auto"/>
        <w:ind w:firstLine="630" w:firstLineChars="300"/>
        <w:outlineLvl w:val="3"/>
        <w:rPr>
          <w:rFonts w:ascii="宋体"/>
          <w:szCs w:val="22"/>
        </w:rPr>
      </w:pPr>
      <w:bookmarkStart w:id="3757" w:name="_Toc497235748"/>
      <w:r>
        <w:rPr>
          <w:rFonts w:ascii="宋体" w:hAnsi="宋体"/>
          <w:szCs w:val="22"/>
        </w:rPr>
        <w:t xml:space="preserve">1.1.1  </w:t>
      </w:r>
      <w:r>
        <w:rPr>
          <w:rFonts w:hint="eastAsia" w:ascii="宋体" w:hAnsi="宋体"/>
          <w:szCs w:val="22"/>
        </w:rPr>
        <w:t>本工程量清单是依据现行的计价计量规范以及图纸等设计文件，并结合施工现场实际情况等编制的。本工程量清单依据的计量计价规范</w:t>
      </w:r>
      <w:r>
        <w:rPr>
          <w:rFonts w:hint="eastAsia" w:ascii="黑体" w:hAnsi="黑体" w:eastAsia="黑体"/>
          <w:szCs w:val="22"/>
        </w:rPr>
        <w:t>见工程量清单专用部分</w:t>
      </w:r>
      <w:r>
        <w:rPr>
          <w:rFonts w:hint="eastAsia" w:ascii="宋体" w:hAnsi="宋体"/>
          <w:szCs w:val="22"/>
        </w:rPr>
        <w:t>。</w:t>
      </w:r>
      <w:bookmarkEnd w:id="3757"/>
    </w:p>
    <w:p>
      <w:pPr>
        <w:spacing w:line="360" w:lineRule="auto"/>
        <w:ind w:firstLine="630" w:firstLineChars="300"/>
        <w:outlineLvl w:val="3"/>
        <w:rPr>
          <w:rFonts w:ascii="宋体"/>
          <w:szCs w:val="22"/>
        </w:rPr>
      </w:pPr>
      <w:bookmarkStart w:id="3758" w:name="_Toc497235749"/>
      <w:r>
        <w:rPr>
          <w:rFonts w:ascii="宋体" w:hAnsi="宋体"/>
          <w:szCs w:val="22"/>
        </w:rPr>
        <w:t xml:space="preserve">1.1.2  </w:t>
      </w:r>
      <w:r>
        <w:rPr>
          <w:rFonts w:hint="eastAsia" w:ascii="宋体" w:hAnsi="宋体"/>
          <w:szCs w:val="22"/>
        </w:rPr>
        <w:t>上述“计价计量规范”中规定的工程量计算规则中没有的子目，应当执行本章第</w:t>
      </w:r>
      <w:r>
        <w:rPr>
          <w:rFonts w:ascii="宋体" w:hAnsi="宋体"/>
          <w:szCs w:val="22"/>
        </w:rPr>
        <w:t>1.1.3</w:t>
      </w:r>
      <w:r>
        <w:rPr>
          <w:rFonts w:hint="eastAsia" w:ascii="宋体" w:hAnsi="宋体"/>
          <w:szCs w:val="22"/>
        </w:rPr>
        <w:t>项约定；计价计量规范中规定的工程量计算规则中没有且本章第</w:t>
      </w:r>
      <w:r>
        <w:rPr>
          <w:rFonts w:ascii="宋体" w:hAnsi="宋体"/>
          <w:szCs w:val="22"/>
        </w:rPr>
        <w:t>1.1.3</w:t>
      </w:r>
      <w:r>
        <w:rPr>
          <w:rFonts w:hint="eastAsia" w:ascii="宋体" w:hAnsi="宋体"/>
          <w:szCs w:val="22"/>
        </w:rPr>
        <w:t>项也未约定的，由双方协商确定；协商不成的，可向省级或行业工程造价管理机构申请裁定，或按照有合同约束力的图纸所标示尺寸的理论净量计算。计量采用中华人民共和国法定的基本计量单位。</w:t>
      </w:r>
      <w:bookmarkEnd w:id="3758"/>
    </w:p>
    <w:p>
      <w:pPr>
        <w:spacing w:line="360" w:lineRule="auto"/>
        <w:ind w:firstLine="630" w:firstLineChars="300"/>
        <w:outlineLvl w:val="3"/>
        <w:rPr>
          <w:rFonts w:ascii="宋体"/>
          <w:szCs w:val="22"/>
        </w:rPr>
      </w:pPr>
      <w:bookmarkStart w:id="3759" w:name="_Toc497235750"/>
      <w:r>
        <w:rPr>
          <w:rFonts w:ascii="宋体" w:hAnsi="宋体"/>
          <w:szCs w:val="22"/>
        </w:rPr>
        <w:t xml:space="preserve">1.1.3  </w:t>
      </w:r>
      <w:r>
        <w:rPr>
          <w:rFonts w:hint="eastAsia" w:ascii="宋体" w:hAnsi="宋体"/>
          <w:szCs w:val="22"/>
        </w:rPr>
        <w:t>补充子目的子目特征、计量单位、工程量计算规则及工作内容说明</w:t>
      </w:r>
      <w:r>
        <w:rPr>
          <w:rFonts w:hint="eastAsia" w:ascii="黑体" w:hAnsi="黑体" w:eastAsia="黑体"/>
          <w:szCs w:val="22"/>
        </w:rPr>
        <w:t>见工程量清单专用部分</w:t>
      </w:r>
      <w:r>
        <w:rPr>
          <w:rFonts w:hint="eastAsia" w:ascii="宋体" w:hAnsi="宋体"/>
          <w:szCs w:val="22"/>
        </w:rPr>
        <w:t>。</w:t>
      </w:r>
      <w:bookmarkEnd w:id="3759"/>
    </w:p>
    <w:p>
      <w:pPr>
        <w:pStyle w:val="155"/>
        <w:spacing w:before="120" w:after="120"/>
      </w:pPr>
      <w:bookmarkStart w:id="3760" w:name="_Toc482634255"/>
      <w:bookmarkStart w:id="3761" w:name="_Toc489280070"/>
      <w:bookmarkStart w:id="3762" w:name="_Toc117350629"/>
      <w:bookmarkStart w:id="3763" w:name="_Toc482634095"/>
      <w:bookmarkStart w:id="3764" w:name="_Toc486580261"/>
      <w:r>
        <w:t xml:space="preserve">1.2  </w:t>
      </w:r>
      <w:r>
        <w:rPr>
          <w:rFonts w:hint="eastAsia"/>
        </w:rPr>
        <w:t>工程量清单有关内容的理解</w:t>
      </w:r>
      <w:bookmarkEnd w:id="3760"/>
      <w:bookmarkEnd w:id="3761"/>
      <w:bookmarkEnd w:id="3762"/>
      <w:bookmarkEnd w:id="3763"/>
      <w:bookmarkEnd w:id="3764"/>
    </w:p>
    <w:p>
      <w:pPr>
        <w:spacing w:line="360" w:lineRule="auto"/>
        <w:ind w:firstLine="630" w:firstLineChars="300"/>
        <w:outlineLvl w:val="3"/>
        <w:rPr>
          <w:rFonts w:ascii="宋体"/>
          <w:szCs w:val="22"/>
        </w:rPr>
      </w:pPr>
      <w:bookmarkStart w:id="3765" w:name="_Toc497235752"/>
      <w:r>
        <w:rPr>
          <w:rFonts w:ascii="宋体" w:hAnsi="宋体"/>
          <w:szCs w:val="22"/>
        </w:rPr>
        <w:t xml:space="preserve">1.2.1  </w:t>
      </w:r>
      <w:r>
        <w:rPr>
          <w:rFonts w:hint="eastAsia" w:ascii="宋体" w:hAnsi="宋体"/>
          <w:szCs w:val="22"/>
        </w:rPr>
        <w:t>本工程量清单应与招标文件中投标人须知、合同条款、技术标准和要求及图纸等章节内容一起阅读和理解。</w:t>
      </w:r>
      <w:bookmarkEnd w:id="3765"/>
    </w:p>
    <w:p>
      <w:pPr>
        <w:spacing w:line="360" w:lineRule="auto"/>
        <w:ind w:firstLine="630" w:firstLineChars="300"/>
        <w:outlineLvl w:val="3"/>
        <w:rPr>
          <w:rFonts w:ascii="宋体"/>
          <w:szCs w:val="22"/>
        </w:rPr>
      </w:pPr>
      <w:bookmarkStart w:id="3766" w:name="_Toc497235753"/>
      <w:r>
        <w:rPr>
          <w:rFonts w:ascii="宋体" w:hAnsi="宋体"/>
          <w:szCs w:val="22"/>
        </w:rPr>
        <w:t xml:space="preserve">1.2.2  </w:t>
      </w:r>
      <w:r>
        <w:rPr>
          <w:rFonts w:hint="eastAsia" w:ascii="宋体" w:hAnsi="宋体"/>
          <w:szCs w:val="22"/>
        </w:rPr>
        <w:t>本工程量清单是指表现本工程分部分项工程项目、措施项目、其他项目和税金的名称和相应数量等的明细清单，仅是投标报价以及招标控制价的共同基础，竣工结算的工程量按合同约定确定。合同价格的确定以及价款支付应遵循合同条款、技术标准和要求以及本章的有关约定。</w:t>
      </w:r>
      <w:bookmarkEnd w:id="3766"/>
    </w:p>
    <w:p>
      <w:pPr>
        <w:spacing w:line="360" w:lineRule="auto"/>
        <w:ind w:firstLine="630" w:firstLineChars="300"/>
        <w:outlineLvl w:val="3"/>
        <w:rPr>
          <w:rFonts w:ascii="宋体"/>
          <w:szCs w:val="22"/>
        </w:rPr>
      </w:pPr>
      <w:bookmarkStart w:id="3767" w:name="_Toc497235754"/>
      <w:r>
        <w:rPr>
          <w:rFonts w:ascii="宋体" w:hAnsi="宋体"/>
          <w:szCs w:val="22"/>
        </w:rPr>
        <w:t xml:space="preserve">1.2.3  </w:t>
      </w:r>
      <w:r>
        <w:rPr>
          <w:rFonts w:hint="eastAsia" w:ascii="宋体" w:hAnsi="宋体"/>
          <w:szCs w:val="22"/>
        </w:rPr>
        <w:t>工程量清单中总价子目是指以总价计价，以“项”为计量单位，工程量为整数</w:t>
      </w:r>
      <w:r>
        <w:rPr>
          <w:rFonts w:ascii="宋体" w:hAnsi="宋体"/>
          <w:szCs w:val="22"/>
        </w:rPr>
        <w:t>1</w:t>
      </w:r>
      <w:r>
        <w:rPr>
          <w:rFonts w:hint="eastAsia" w:ascii="宋体" w:hAnsi="宋体"/>
          <w:szCs w:val="22"/>
        </w:rPr>
        <w:t>的子目，除合同另有约定外，价格固定包干。采用总价合同形式时，合同订立后，除合同条款第</w:t>
      </w:r>
      <w:r>
        <w:rPr>
          <w:rFonts w:ascii="宋体" w:hAnsi="宋体"/>
          <w:szCs w:val="22"/>
        </w:rPr>
        <w:t>15</w:t>
      </w:r>
      <w:r>
        <w:rPr>
          <w:rFonts w:hint="eastAsia" w:ascii="宋体" w:hAnsi="宋体"/>
          <w:szCs w:val="22"/>
        </w:rPr>
        <w:t>条约定的变更、以及本章第</w:t>
      </w:r>
      <w:r>
        <w:rPr>
          <w:rFonts w:ascii="宋体" w:hAnsi="宋体"/>
          <w:szCs w:val="22"/>
        </w:rPr>
        <w:t>3.1.4</w:t>
      </w:r>
      <w:r>
        <w:rPr>
          <w:rFonts w:hint="eastAsia" w:ascii="宋体" w:hAnsi="宋体"/>
          <w:szCs w:val="22"/>
        </w:rPr>
        <w:t>项约定的情况外，已标价工程量清单中的工程量均没有合同约束力，所有子目均是总价子目，视同按项计量。</w:t>
      </w:r>
      <w:bookmarkEnd w:id="3767"/>
    </w:p>
    <w:p>
      <w:pPr>
        <w:spacing w:line="360" w:lineRule="auto"/>
        <w:ind w:firstLine="630" w:firstLineChars="300"/>
        <w:outlineLvl w:val="3"/>
        <w:rPr>
          <w:rFonts w:ascii="宋体"/>
          <w:szCs w:val="22"/>
        </w:rPr>
      </w:pPr>
      <w:bookmarkStart w:id="3768" w:name="_Toc497235755"/>
      <w:r>
        <w:rPr>
          <w:rFonts w:ascii="宋体" w:hAnsi="宋体"/>
          <w:szCs w:val="22"/>
        </w:rPr>
        <w:t xml:space="preserve">1.2.4  </w:t>
      </w:r>
      <w:r>
        <w:rPr>
          <w:rFonts w:hint="eastAsia" w:ascii="宋体" w:hAnsi="宋体"/>
          <w:szCs w:val="22"/>
        </w:rPr>
        <w:t>工程量清单中单价子目是指以单价计价，根据具有合同约束力的图纸和工程量计算规则进行计量，以实际完成数量乘以相应单价进行结算的子目。</w:t>
      </w:r>
      <w:bookmarkEnd w:id="3768"/>
    </w:p>
    <w:p>
      <w:pPr>
        <w:spacing w:line="360" w:lineRule="auto"/>
        <w:ind w:firstLine="630" w:firstLineChars="300"/>
        <w:outlineLvl w:val="3"/>
        <w:rPr>
          <w:rFonts w:ascii="宋体"/>
          <w:szCs w:val="22"/>
        </w:rPr>
      </w:pPr>
      <w:bookmarkStart w:id="3769" w:name="_Toc497235756"/>
      <w:r>
        <w:rPr>
          <w:rFonts w:ascii="宋体" w:hAnsi="宋体"/>
          <w:szCs w:val="22"/>
        </w:rPr>
        <w:t xml:space="preserve">1.2.5  </w:t>
      </w:r>
      <w:r>
        <w:rPr>
          <w:rFonts w:hint="eastAsia" w:ascii="宋体" w:hAnsi="宋体"/>
          <w:szCs w:val="22"/>
        </w:rPr>
        <w:t>分部分项工程项目清单中子目编码是指所列的子目名称的数字标识和代码，子目编码与项目编码同义。</w:t>
      </w:r>
      <w:bookmarkEnd w:id="3769"/>
    </w:p>
    <w:p>
      <w:pPr>
        <w:spacing w:line="360" w:lineRule="auto"/>
        <w:ind w:firstLine="630" w:firstLineChars="300"/>
        <w:outlineLvl w:val="3"/>
        <w:rPr>
          <w:rFonts w:ascii="宋体"/>
          <w:szCs w:val="22"/>
        </w:rPr>
      </w:pPr>
      <w:bookmarkStart w:id="3770" w:name="_Toc497235757"/>
      <w:r>
        <w:rPr>
          <w:rFonts w:ascii="宋体" w:hAnsi="宋体"/>
          <w:szCs w:val="22"/>
        </w:rPr>
        <w:t xml:space="preserve">1.2.6  </w:t>
      </w:r>
      <w:r>
        <w:rPr>
          <w:rFonts w:hint="eastAsia" w:ascii="宋体" w:hAnsi="宋体"/>
          <w:szCs w:val="22"/>
        </w:rPr>
        <w:t>构成分部分项工程项目清单子目、措施项目的实质内容、决定其自身价值的本质特征即称之为子目特征，子目特征与项目特征同义。</w:t>
      </w:r>
      <w:bookmarkEnd w:id="3770"/>
    </w:p>
    <w:p>
      <w:pPr>
        <w:spacing w:line="360" w:lineRule="auto"/>
        <w:ind w:firstLine="630" w:firstLineChars="300"/>
        <w:outlineLvl w:val="3"/>
        <w:rPr>
          <w:rFonts w:ascii="宋体"/>
          <w:szCs w:val="22"/>
        </w:rPr>
      </w:pPr>
      <w:bookmarkStart w:id="3771" w:name="_Toc497235758"/>
      <w:r>
        <w:rPr>
          <w:rFonts w:ascii="宋体" w:hAnsi="宋体"/>
          <w:szCs w:val="22"/>
        </w:rPr>
        <w:t xml:space="preserve">1.2.7  </w:t>
      </w:r>
      <w:r>
        <w:rPr>
          <w:rFonts w:hint="eastAsia" w:ascii="宋体" w:hAnsi="宋体"/>
          <w:szCs w:val="22"/>
        </w:rPr>
        <w:t>规费是指承包人根据省级政府或省级有关权力部门规定必须缴纳的，应计入建筑安装工程造价的费用。</w:t>
      </w:r>
      <w:bookmarkEnd w:id="3771"/>
    </w:p>
    <w:p>
      <w:pPr>
        <w:spacing w:line="360" w:lineRule="auto"/>
        <w:ind w:firstLine="630" w:firstLineChars="300"/>
        <w:outlineLvl w:val="3"/>
        <w:rPr>
          <w:rFonts w:ascii="宋体"/>
          <w:szCs w:val="22"/>
        </w:rPr>
      </w:pPr>
      <w:bookmarkStart w:id="3772" w:name="_Toc497235759"/>
      <w:r>
        <w:rPr>
          <w:rFonts w:ascii="宋体" w:hAnsi="宋体"/>
          <w:szCs w:val="22"/>
        </w:rPr>
        <w:t xml:space="preserve">1.2.8  </w:t>
      </w:r>
      <w:r>
        <w:rPr>
          <w:rFonts w:hint="eastAsia" w:ascii="宋体" w:hAnsi="宋体"/>
          <w:szCs w:val="22"/>
        </w:rPr>
        <w:t>税金是指按照国家税法规定应计入建筑安装工程造价内的增值税销项税额。</w:t>
      </w:r>
      <w:bookmarkEnd w:id="3772"/>
    </w:p>
    <w:p>
      <w:pPr>
        <w:spacing w:line="360" w:lineRule="auto"/>
        <w:ind w:firstLine="630" w:firstLineChars="300"/>
        <w:outlineLvl w:val="3"/>
        <w:rPr>
          <w:rFonts w:ascii="宋体"/>
          <w:szCs w:val="22"/>
        </w:rPr>
      </w:pPr>
      <w:bookmarkStart w:id="3773" w:name="_Toc497235760"/>
      <w:r>
        <w:rPr>
          <w:rFonts w:ascii="宋体" w:hAnsi="宋体"/>
          <w:szCs w:val="22"/>
        </w:rPr>
        <w:t xml:space="preserve">1.2.9  </w:t>
      </w:r>
      <w:r>
        <w:rPr>
          <w:rFonts w:hint="eastAsia" w:ascii="宋体" w:hAnsi="宋体"/>
          <w:szCs w:val="22"/>
        </w:rPr>
        <w:t>总承包服务费是指总承包人为配合协调发包人发包的专业工程、发包人采购的材料和工程设备等进行管理、服务以及施工现场管理、竣工资料汇总整理等所需的费用。</w:t>
      </w:r>
      <w:bookmarkEnd w:id="3773"/>
    </w:p>
    <w:p>
      <w:pPr>
        <w:spacing w:line="360" w:lineRule="auto"/>
        <w:ind w:firstLine="630" w:firstLineChars="300"/>
        <w:outlineLvl w:val="3"/>
        <w:rPr>
          <w:rFonts w:ascii="宋体"/>
          <w:szCs w:val="22"/>
        </w:rPr>
      </w:pPr>
      <w:bookmarkStart w:id="3774" w:name="_Toc497235761"/>
      <w:r>
        <w:rPr>
          <w:rFonts w:ascii="宋体" w:hAnsi="宋体"/>
          <w:szCs w:val="22"/>
        </w:rPr>
        <w:t xml:space="preserve">1.2.10  </w:t>
      </w:r>
      <w:r>
        <w:rPr>
          <w:rFonts w:hint="eastAsia" w:ascii="宋体" w:hAnsi="宋体"/>
          <w:szCs w:val="22"/>
        </w:rPr>
        <w:t>同义词语，本章中使用的词语“招标人”和“投标人”分别与合同条款中定义的“发包人”和“承包人”同义；就工程量清单而言，“子目”与“项目”同义。</w:t>
      </w:r>
      <w:bookmarkEnd w:id="3774"/>
    </w:p>
    <w:p>
      <w:pPr>
        <w:spacing w:line="360" w:lineRule="auto"/>
        <w:ind w:firstLine="630" w:firstLineChars="300"/>
        <w:outlineLvl w:val="3"/>
        <w:rPr>
          <w:rFonts w:ascii="宋体"/>
          <w:szCs w:val="22"/>
        </w:rPr>
      </w:pPr>
      <w:bookmarkStart w:id="3775" w:name="_Toc497235762"/>
      <w:r>
        <w:rPr>
          <w:rFonts w:ascii="宋体" w:hAnsi="宋体"/>
          <w:szCs w:val="22"/>
        </w:rPr>
        <w:t xml:space="preserve">1.2.11  </w:t>
      </w:r>
      <w:r>
        <w:rPr>
          <w:rFonts w:hint="eastAsia" w:ascii="宋体" w:hAnsi="宋体"/>
          <w:szCs w:val="22"/>
        </w:rPr>
        <w:t>第</w:t>
      </w:r>
      <w:r>
        <w:rPr>
          <w:rFonts w:ascii="宋体" w:hAnsi="宋体"/>
          <w:szCs w:val="22"/>
        </w:rPr>
        <w:t>1.1</w:t>
      </w:r>
      <w:r>
        <w:rPr>
          <w:rFonts w:hint="eastAsia" w:ascii="宋体" w:hAnsi="宋体"/>
          <w:szCs w:val="22"/>
        </w:rPr>
        <w:t>款中约定的计量和计价规则适用于合同履约过程中工程量计量与价款支付、工程变更、索赔和工程结算。</w:t>
      </w:r>
      <w:bookmarkEnd w:id="3775"/>
    </w:p>
    <w:p>
      <w:pPr>
        <w:spacing w:line="360" w:lineRule="auto"/>
        <w:ind w:firstLine="630" w:firstLineChars="300"/>
        <w:outlineLvl w:val="3"/>
        <w:rPr>
          <w:rFonts w:ascii="宋体"/>
          <w:szCs w:val="22"/>
        </w:rPr>
      </w:pPr>
      <w:bookmarkStart w:id="3776" w:name="_Toc497235763"/>
      <w:r>
        <w:rPr>
          <w:rFonts w:ascii="宋体" w:hAnsi="宋体"/>
          <w:szCs w:val="22"/>
        </w:rPr>
        <w:t xml:space="preserve">1.2.12  </w:t>
      </w:r>
      <w:r>
        <w:rPr>
          <w:rFonts w:hint="eastAsia" w:ascii="宋体" w:hAnsi="宋体"/>
          <w:szCs w:val="22"/>
        </w:rPr>
        <w:t>本条与下述第</w:t>
      </w:r>
      <w:r>
        <w:rPr>
          <w:rFonts w:ascii="宋体" w:hAnsi="宋体"/>
          <w:szCs w:val="22"/>
        </w:rPr>
        <w:t>2</w:t>
      </w:r>
      <w:r>
        <w:rPr>
          <w:rFonts w:hint="eastAsia" w:ascii="宋体" w:hAnsi="宋体"/>
          <w:szCs w:val="22"/>
        </w:rPr>
        <w:t>条和第</w:t>
      </w:r>
      <w:r>
        <w:rPr>
          <w:rFonts w:ascii="宋体" w:hAnsi="宋体"/>
          <w:szCs w:val="22"/>
        </w:rPr>
        <w:t>3</w:t>
      </w:r>
      <w:r>
        <w:rPr>
          <w:rFonts w:hint="eastAsia" w:ascii="宋体" w:hAnsi="宋体"/>
          <w:szCs w:val="22"/>
        </w:rPr>
        <w:t>条的说明内容是构成合同文件的已标价工程量清单的组成部分。</w:t>
      </w:r>
      <w:bookmarkEnd w:id="3776"/>
    </w:p>
    <w:p>
      <w:pPr>
        <w:pStyle w:val="144"/>
        <w:spacing w:before="120" w:after="120"/>
      </w:pPr>
      <w:bookmarkStart w:id="3777" w:name="_Toc117350630"/>
      <w:bookmarkStart w:id="3778" w:name="_Toc490222671"/>
      <w:bookmarkStart w:id="3779" w:name="_Toc489280071"/>
      <w:bookmarkStart w:id="3780" w:name="_Toc482634256"/>
      <w:bookmarkStart w:id="3781" w:name="_Toc480481054"/>
      <w:bookmarkStart w:id="3782" w:name="_Toc486580262"/>
      <w:bookmarkStart w:id="3783" w:name="_Toc480481038"/>
      <w:bookmarkStart w:id="3784" w:name="_Toc482634096"/>
      <w:r>
        <w:t>2.</w:t>
      </w:r>
      <w:r>
        <w:rPr>
          <w:rFonts w:hint="eastAsia"/>
        </w:rPr>
        <w:t>投标报价说明</w:t>
      </w:r>
      <w:bookmarkEnd w:id="3777"/>
      <w:bookmarkEnd w:id="3778"/>
      <w:bookmarkEnd w:id="3779"/>
      <w:bookmarkEnd w:id="3780"/>
      <w:bookmarkEnd w:id="3781"/>
      <w:bookmarkEnd w:id="3782"/>
      <w:bookmarkEnd w:id="3783"/>
      <w:bookmarkEnd w:id="3784"/>
    </w:p>
    <w:p>
      <w:pPr>
        <w:pStyle w:val="155"/>
        <w:spacing w:before="120" w:after="120"/>
      </w:pPr>
      <w:bookmarkStart w:id="3785" w:name="_Toc486580263"/>
      <w:bookmarkStart w:id="3786" w:name="_Toc482634097"/>
      <w:bookmarkStart w:id="3787" w:name="_Toc489280072"/>
      <w:bookmarkStart w:id="3788" w:name="_Toc117350631"/>
      <w:bookmarkStart w:id="3789" w:name="_Toc482634257"/>
      <w:r>
        <w:t xml:space="preserve">2.1  </w:t>
      </w:r>
      <w:r>
        <w:rPr>
          <w:rFonts w:hint="eastAsia"/>
        </w:rPr>
        <w:t>投标报价的依据</w:t>
      </w:r>
      <w:bookmarkEnd w:id="3785"/>
      <w:bookmarkEnd w:id="3786"/>
      <w:bookmarkEnd w:id="3787"/>
      <w:bookmarkEnd w:id="3788"/>
      <w:bookmarkEnd w:id="3789"/>
    </w:p>
    <w:p>
      <w:pPr>
        <w:spacing w:line="360" w:lineRule="auto"/>
        <w:ind w:firstLine="630" w:firstLineChars="300"/>
        <w:outlineLvl w:val="3"/>
        <w:rPr>
          <w:rFonts w:ascii="宋体"/>
          <w:szCs w:val="22"/>
        </w:rPr>
      </w:pPr>
      <w:bookmarkStart w:id="3790" w:name="_Toc497235766"/>
      <w:r>
        <w:rPr>
          <w:rFonts w:hint="eastAsia" w:ascii="宋体" w:hAnsi="宋体"/>
          <w:szCs w:val="22"/>
        </w:rPr>
        <w:t>投标报价应当根据招标文件中的有关计价要求，并按照下列依据自主报价：</w:t>
      </w:r>
      <w:bookmarkEnd w:id="3790"/>
    </w:p>
    <w:p>
      <w:pPr>
        <w:spacing w:line="360" w:lineRule="auto"/>
        <w:ind w:firstLine="630" w:firstLineChars="300"/>
        <w:outlineLvl w:val="3"/>
        <w:rPr>
          <w:rFonts w:ascii="宋体"/>
          <w:szCs w:val="22"/>
        </w:rPr>
      </w:pPr>
      <w:bookmarkStart w:id="3791" w:name="_Toc497235767"/>
      <w:r>
        <w:rPr>
          <w:rFonts w:hint="eastAsia" w:ascii="宋体" w:hAnsi="宋体"/>
          <w:szCs w:val="22"/>
        </w:rPr>
        <w:t>（</w:t>
      </w:r>
      <w:r>
        <w:rPr>
          <w:rFonts w:ascii="宋体" w:hAnsi="宋体"/>
          <w:szCs w:val="22"/>
        </w:rPr>
        <w:t>1</w:t>
      </w:r>
      <w:r>
        <w:rPr>
          <w:rFonts w:hint="eastAsia" w:ascii="宋体" w:hAnsi="宋体"/>
          <w:szCs w:val="22"/>
        </w:rPr>
        <w:t>）本招标文件（包括澄清、补充和修改文件）；</w:t>
      </w:r>
      <w:bookmarkEnd w:id="3791"/>
    </w:p>
    <w:p>
      <w:pPr>
        <w:spacing w:line="360" w:lineRule="auto"/>
        <w:ind w:firstLine="630" w:firstLineChars="300"/>
        <w:outlineLvl w:val="3"/>
        <w:rPr>
          <w:rFonts w:ascii="宋体"/>
          <w:szCs w:val="22"/>
        </w:rPr>
      </w:pPr>
      <w:bookmarkStart w:id="3792" w:name="_Toc497235768"/>
      <w:r>
        <w:rPr>
          <w:rFonts w:hint="eastAsia" w:ascii="宋体" w:hAnsi="宋体"/>
          <w:szCs w:val="22"/>
        </w:rPr>
        <w:t>（</w:t>
      </w:r>
      <w:r>
        <w:rPr>
          <w:rFonts w:ascii="宋体" w:hAnsi="宋体"/>
          <w:szCs w:val="22"/>
        </w:rPr>
        <w:t>2</w:t>
      </w:r>
      <w:r>
        <w:rPr>
          <w:rFonts w:hint="eastAsia" w:ascii="宋体" w:hAnsi="宋体"/>
          <w:szCs w:val="22"/>
        </w:rPr>
        <w:t>）本章第</w:t>
      </w:r>
      <w:r>
        <w:rPr>
          <w:rFonts w:ascii="宋体" w:hAnsi="宋体"/>
          <w:szCs w:val="22"/>
        </w:rPr>
        <w:t>1.1.1</w:t>
      </w:r>
      <w:r>
        <w:rPr>
          <w:rFonts w:hint="eastAsia" w:ascii="宋体" w:hAnsi="宋体"/>
          <w:szCs w:val="22"/>
        </w:rPr>
        <w:t>项约定的计量计价规范；</w:t>
      </w:r>
      <w:bookmarkEnd w:id="3792"/>
    </w:p>
    <w:p>
      <w:pPr>
        <w:spacing w:line="360" w:lineRule="auto"/>
        <w:ind w:firstLine="630" w:firstLineChars="300"/>
        <w:outlineLvl w:val="3"/>
        <w:rPr>
          <w:rFonts w:ascii="宋体"/>
          <w:szCs w:val="22"/>
        </w:rPr>
      </w:pPr>
      <w:bookmarkStart w:id="3793" w:name="_Toc497235769"/>
      <w:r>
        <w:rPr>
          <w:rFonts w:hint="eastAsia" w:ascii="宋体" w:hAnsi="宋体"/>
          <w:szCs w:val="22"/>
        </w:rPr>
        <w:t>（</w:t>
      </w:r>
      <w:r>
        <w:rPr>
          <w:rFonts w:ascii="宋体" w:hAnsi="宋体"/>
          <w:szCs w:val="22"/>
        </w:rPr>
        <w:t>3</w:t>
      </w:r>
      <w:r>
        <w:rPr>
          <w:rFonts w:hint="eastAsia" w:ascii="宋体" w:hAnsi="宋体"/>
          <w:szCs w:val="22"/>
        </w:rPr>
        <w:t>）国家或省级、行业建设主管部门颁发的计价办法；</w:t>
      </w:r>
      <w:bookmarkEnd w:id="3793"/>
    </w:p>
    <w:p>
      <w:pPr>
        <w:spacing w:line="360" w:lineRule="auto"/>
        <w:ind w:firstLine="630" w:firstLineChars="300"/>
        <w:outlineLvl w:val="3"/>
        <w:rPr>
          <w:rFonts w:ascii="宋体"/>
          <w:szCs w:val="22"/>
        </w:rPr>
      </w:pPr>
      <w:bookmarkStart w:id="3794" w:name="_Toc497235770"/>
      <w:r>
        <w:rPr>
          <w:rFonts w:hint="eastAsia" w:ascii="宋体" w:hAnsi="宋体"/>
          <w:szCs w:val="22"/>
        </w:rPr>
        <w:t>（</w:t>
      </w:r>
      <w:r>
        <w:rPr>
          <w:rFonts w:ascii="宋体" w:hAnsi="宋体"/>
          <w:szCs w:val="22"/>
        </w:rPr>
        <w:t>4</w:t>
      </w:r>
      <w:r>
        <w:rPr>
          <w:rFonts w:hint="eastAsia" w:ascii="宋体" w:hAnsi="宋体"/>
          <w:szCs w:val="22"/>
        </w:rPr>
        <w:t>）企业定额，国家或省级、行业建设主管部门颁发的规定、标准；</w:t>
      </w:r>
      <w:bookmarkEnd w:id="3794"/>
    </w:p>
    <w:p>
      <w:pPr>
        <w:spacing w:line="360" w:lineRule="auto"/>
        <w:ind w:firstLine="630" w:firstLineChars="300"/>
        <w:outlineLvl w:val="3"/>
        <w:rPr>
          <w:rFonts w:ascii="宋体"/>
          <w:szCs w:val="22"/>
        </w:rPr>
      </w:pPr>
      <w:bookmarkStart w:id="3795" w:name="_Toc497235771"/>
      <w:r>
        <w:rPr>
          <w:rFonts w:hint="eastAsia" w:ascii="宋体" w:hAnsi="宋体"/>
          <w:szCs w:val="22"/>
        </w:rPr>
        <w:t>（</w:t>
      </w:r>
      <w:r>
        <w:rPr>
          <w:rFonts w:ascii="宋体" w:hAnsi="宋体"/>
          <w:szCs w:val="22"/>
        </w:rPr>
        <w:t>5</w:t>
      </w:r>
      <w:r>
        <w:rPr>
          <w:rFonts w:hint="eastAsia" w:ascii="宋体" w:hAnsi="宋体"/>
          <w:szCs w:val="22"/>
        </w:rPr>
        <w:t>）建设工程图纸等设计文件及相关资料；</w:t>
      </w:r>
      <w:bookmarkEnd w:id="3795"/>
    </w:p>
    <w:p>
      <w:pPr>
        <w:spacing w:line="360" w:lineRule="auto"/>
        <w:ind w:firstLine="630" w:firstLineChars="300"/>
        <w:outlineLvl w:val="3"/>
        <w:rPr>
          <w:rFonts w:ascii="宋体"/>
          <w:szCs w:val="22"/>
        </w:rPr>
      </w:pPr>
      <w:bookmarkStart w:id="3796" w:name="_Toc497235772"/>
      <w:r>
        <w:rPr>
          <w:rFonts w:hint="eastAsia" w:ascii="宋体" w:hAnsi="宋体"/>
          <w:szCs w:val="22"/>
        </w:rPr>
        <w:t>（</w:t>
      </w:r>
      <w:r>
        <w:rPr>
          <w:rFonts w:ascii="宋体" w:hAnsi="宋体"/>
          <w:szCs w:val="22"/>
        </w:rPr>
        <w:t>6</w:t>
      </w:r>
      <w:r>
        <w:rPr>
          <w:rFonts w:hint="eastAsia" w:ascii="宋体" w:hAnsi="宋体"/>
          <w:szCs w:val="22"/>
        </w:rPr>
        <w:t>）施工现场情况、工程特点及拟定的投标施工组织设计或施工方案；</w:t>
      </w:r>
      <w:bookmarkEnd w:id="3796"/>
    </w:p>
    <w:p>
      <w:pPr>
        <w:spacing w:line="360" w:lineRule="auto"/>
        <w:ind w:firstLine="630" w:firstLineChars="300"/>
        <w:outlineLvl w:val="3"/>
        <w:rPr>
          <w:rFonts w:ascii="宋体"/>
          <w:szCs w:val="22"/>
        </w:rPr>
      </w:pPr>
      <w:bookmarkStart w:id="3797" w:name="_Toc497235773"/>
      <w:r>
        <w:rPr>
          <w:rFonts w:hint="eastAsia" w:ascii="宋体" w:hAnsi="宋体"/>
          <w:szCs w:val="22"/>
        </w:rPr>
        <w:t>（</w:t>
      </w:r>
      <w:r>
        <w:rPr>
          <w:rFonts w:ascii="宋体" w:hAnsi="宋体"/>
          <w:szCs w:val="22"/>
        </w:rPr>
        <w:t>7</w:t>
      </w:r>
      <w:r>
        <w:rPr>
          <w:rFonts w:hint="eastAsia" w:ascii="宋体" w:hAnsi="宋体"/>
          <w:szCs w:val="22"/>
        </w:rPr>
        <w:t>）与建设项目相关的标准、规定等技术资料；</w:t>
      </w:r>
      <w:bookmarkEnd w:id="3797"/>
    </w:p>
    <w:p>
      <w:pPr>
        <w:spacing w:line="360" w:lineRule="auto"/>
        <w:ind w:firstLine="630" w:firstLineChars="300"/>
        <w:outlineLvl w:val="3"/>
        <w:rPr>
          <w:rFonts w:ascii="宋体"/>
          <w:szCs w:val="22"/>
        </w:rPr>
      </w:pPr>
      <w:bookmarkStart w:id="3798" w:name="_Toc497235774"/>
      <w:r>
        <w:rPr>
          <w:rFonts w:hint="eastAsia" w:ascii="宋体" w:hAnsi="宋体"/>
          <w:szCs w:val="22"/>
        </w:rPr>
        <w:t>（</w:t>
      </w:r>
      <w:r>
        <w:rPr>
          <w:rFonts w:ascii="宋体" w:hAnsi="宋体"/>
          <w:szCs w:val="22"/>
        </w:rPr>
        <w:t>8</w:t>
      </w:r>
      <w:r>
        <w:rPr>
          <w:rFonts w:hint="eastAsia" w:ascii="宋体" w:hAnsi="宋体"/>
          <w:szCs w:val="22"/>
        </w:rPr>
        <w:t>）市场价格信息或工程造价管理机构发布的工程造价信息；</w:t>
      </w:r>
      <w:bookmarkEnd w:id="3798"/>
    </w:p>
    <w:p>
      <w:pPr>
        <w:spacing w:line="360" w:lineRule="auto"/>
        <w:ind w:firstLine="630" w:firstLineChars="300"/>
        <w:outlineLvl w:val="3"/>
        <w:rPr>
          <w:rFonts w:ascii="宋体"/>
          <w:szCs w:val="22"/>
        </w:rPr>
      </w:pPr>
      <w:bookmarkStart w:id="3799" w:name="_Toc497235775"/>
      <w:r>
        <w:rPr>
          <w:rFonts w:hint="eastAsia" w:ascii="宋体" w:hAnsi="宋体"/>
          <w:szCs w:val="22"/>
        </w:rPr>
        <w:t>（</w:t>
      </w:r>
      <w:r>
        <w:rPr>
          <w:rFonts w:ascii="宋体" w:hAnsi="宋体"/>
          <w:szCs w:val="22"/>
        </w:rPr>
        <w:t>9</w:t>
      </w:r>
      <w:r>
        <w:rPr>
          <w:rFonts w:hint="eastAsia" w:ascii="宋体" w:hAnsi="宋体"/>
          <w:szCs w:val="22"/>
        </w:rPr>
        <w:t>）其他相关资料</w:t>
      </w:r>
      <w:r>
        <w:rPr>
          <w:rFonts w:hint="eastAsia" w:ascii="黑体" w:hAnsi="黑体" w:eastAsia="黑体"/>
          <w:szCs w:val="22"/>
        </w:rPr>
        <w:t>见工程量清单专用部分</w:t>
      </w:r>
      <w:r>
        <w:rPr>
          <w:rFonts w:hint="eastAsia" w:ascii="宋体" w:hAnsi="宋体"/>
          <w:szCs w:val="22"/>
        </w:rPr>
        <w:t>。</w:t>
      </w:r>
      <w:bookmarkEnd w:id="3799"/>
    </w:p>
    <w:p>
      <w:pPr>
        <w:pStyle w:val="155"/>
        <w:spacing w:before="120" w:after="120"/>
      </w:pPr>
      <w:bookmarkStart w:id="3800" w:name="_Toc117350632"/>
      <w:bookmarkStart w:id="3801" w:name="_Toc486580264"/>
      <w:bookmarkStart w:id="3802" w:name="_Toc482634098"/>
      <w:bookmarkStart w:id="3803" w:name="_Toc489280073"/>
      <w:bookmarkStart w:id="3804" w:name="_Toc482634258"/>
      <w:r>
        <w:t xml:space="preserve">2.2  </w:t>
      </w:r>
      <w:r>
        <w:rPr>
          <w:rFonts w:hint="eastAsia"/>
        </w:rPr>
        <w:t>投标报价的一般规定</w:t>
      </w:r>
      <w:bookmarkEnd w:id="3800"/>
      <w:bookmarkEnd w:id="3801"/>
      <w:bookmarkEnd w:id="3802"/>
      <w:bookmarkEnd w:id="3803"/>
      <w:bookmarkEnd w:id="3804"/>
    </w:p>
    <w:p>
      <w:pPr>
        <w:spacing w:line="360" w:lineRule="auto"/>
        <w:ind w:firstLine="630" w:firstLineChars="300"/>
        <w:outlineLvl w:val="3"/>
        <w:rPr>
          <w:rFonts w:ascii="宋体"/>
          <w:szCs w:val="22"/>
        </w:rPr>
      </w:pPr>
      <w:bookmarkStart w:id="3805" w:name="_Toc497235777"/>
      <w:r>
        <w:rPr>
          <w:rFonts w:ascii="宋体" w:hAnsi="宋体"/>
          <w:szCs w:val="22"/>
        </w:rPr>
        <w:t xml:space="preserve">2.2.1  </w:t>
      </w:r>
      <w:r>
        <w:rPr>
          <w:rFonts w:hint="eastAsia" w:ascii="宋体" w:hAnsi="宋体"/>
          <w:szCs w:val="22"/>
        </w:rPr>
        <w:t>工程量清单中的每一子目须填入单价或价格，且只允许有一个报价。</w:t>
      </w:r>
      <w:bookmarkEnd w:id="3805"/>
    </w:p>
    <w:p>
      <w:pPr>
        <w:spacing w:line="360" w:lineRule="auto"/>
        <w:ind w:firstLine="630" w:firstLineChars="300"/>
        <w:outlineLvl w:val="3"/>
        <w:rPr>
          <w:rFonts w:ascii="宋体"/>
          <w:szCs w:val="22"/>
        </w:rPr>
      </w:pPr>
      <w:bookmarkStart w:id="3806" w:name="_Toc497235778"/>
      <w:r>
        <w:rPr>
          <w:rFonts w:ascii="宋体" w:hAnsi="宋体"/>
          <w:szCs w:val="22"/>
        </w:rPr>
        <w:t xml:space="preserve">2.2.2  </w:t>
      </w:r>
      <w:r>
        <w:rPr>
          <w:rFonts w:hint="eastAsia" w:ascii="宋体" w:hAnsi="宋体"/>
          <w:szCs w:val="22"/>
        </w:rPr>
        <w:t>工程量清单中的单价或金额，应包括所需人工费、材料费、施工机械使用费和企业管理费、利润及规费，以及一定范围内的风险费用。所谓“一定范围内的风险”是指合同约定的风险。</w:t>
      </w:r>
      <w:bookmarkEnd w:id="3806"/>
    </w:p>
    <w:p>
      <w:pPr>
        <w:spacing w:line="360" w:lineRule="auto"/>
        <w:ind w:firstLine="630" w:firstLineChars="300"/>
        <w:outlineLvl w:val="3"/>
        <w:rPr>
          <w:rFonts w:ascii="宋体"/>
          <w:szCs w:val="22"/>
        </w:rPr>
      </w:pPr>
      <w:bookmarkStart w:id="3807" w:name="_Toc497235779"/>
      <w:r>
        <w:rPr>
          <w:rFonts w:ascii="宋体" w:hAnsi="宋体"/>
          <w:szCs w:val="22"/>
        </w:rPr>
        <w:t xml:space="preserve">2.2.3  </w:t>
      </w:r>
      <w:r>
        <w:rPr>
          <w:rFonts w:hint="eastAsia" w:ascii="宋体" w:hAnsi="宋体"/>
          <w:szCs w:val="22"/>
        </w:rPr>
        <w:t>已标价工程量清单中投标人没有填入单价或价格的子目，其费用视为已分摊在工程量清单中其他已标价的相关子目的单价或价格之中。</w:t>
      </w:r>
      <w:bookmarkEnd w:id="3807"/>
    </w:p>
    <w:p>
      <w:pPr>
        <w:spacing w:line="360" w:lineRule="auto"/>
        <w:ind w:firstLine="630" w:firstLineChars="300"/>
        <w:outlineLvl w:val="3"/>
        <w:rPr>
          <w:rFonts w:ascii="宋体"/>
          <w:szCs w:val="22"/>
        </w:rPr>
      </w:pPr>
      <w:bookmarkStart w:id="3808" w:name="_Toc497235780"/>
      <w:r>
        <w:rPr>
          <w:rFonts w:ascii="宋体" w:hAnsi="宋体"/>
          <w:szCs w:val="22"/>
        </w:rPr>
        <w:t xml:space="preserve">2.2.4  </w:t>
      </w:r>
      <w:r>
        <w:rPr>
          <w:rFonts w:hint="eastAsia" w:ascii="宋体" w:hAnsi="宋体"/>
          <w:szCs w:val="22"/>
        </w:rPr>
        <w:t>“投标报价汇总表”中的投标总价由分部分项工程费、措施项目费、其他项目费和税金组成，并且“投标报价汇总表”中的投标总价应当与构成已标价工程量清单的分部分项工程费、措施项目费、其他项目费、税金的合计金额一致。</w:t>
      </w:r>
      <w:bookmarkEnd w:id="3808"/>
    </w:p>
    <w:p>
      <w:pPr>
        <w:pStyle w:val="155"/>
        <w:spacing w:before="120" w:after="120"/>
      </w:pPr>
      <w:bookmarkStart w:id="3809" w:name="_Toc117350633"/>
      <w:bookmarkStart w:id="3810" w:name="_Toc482634099"/>
      <w:bookmarkStart w:id="3811" w:name="_Toc489280074"/>
      <w:bookmarkStart w:id="3812" w:name="_Toc482634259"/>
      <w:bookmarkStart w:id="3813" w:name="_Toc486580265"/>
      <w:r>
        <w:t xml:space="preserve">2.3  </w:t>
      </w:r>
      <w:r>
        <w:rPr>
          <w:rFonts w:hint="eastAsia"/>
        </w:rPr>
        <w:t>分部分项工程和单价措施项目报价</w:t>
      </w:r>
      <w:bookmarkEnd w:id="3809"/>
      <w:bookmarkEnd w:id="3810"/>
      <w:bookmarkEnd w:id="3811"/>
      <w:bookmarkEnd w:id="3812"/>
      <w:bookmarkEnd w:id="3813"/>
    </w:p>
    <w:p>
      <w:pPr>
        <w:spacing w:line="360" w:lineRule="auto"/>
        <w:ind w:firstLine="630" w:firstLineChars="300"/>
        <w:outlineLvl w:val="3"/>
        <w:rPr>
          <w:rFonts w:ascii="宋体"/>
          <w:szCs w:val="22"/>
        </w:rPr>
      </w:pPr>
      <w:bookmarkStart w:id="3814" w:name="_Toc497235782"/>
      <w:r>
        <w:rPr>
          <w:rFonts w:ascii="宋体" w:hAnsi="宋体"/>
          <w:szCs w:val="22"/>
        </w:rPr>
        <w:t xml:space="preserve">2.3.1  </w:t>
      </w:r>
      <w:r>
        <w:rPr>
          <w:rFonts w:hint="eastAsia" w:ascii="宋体" w:hAnsi="宋体"/>
          <w:szCs w:val="22"/>
        </w:rPr>
        <w:t>分部分项工程和单价措施清单项目计价应依据计价计量规范中关于综合单价的组成内容确定报价。</w:t>
      </w:r>
      <w:bookmarkEnd w:id="3814"/>
    </w:p>
    <w:p>
      <w:pPr>
        <w:spacing w:line="360" w:lineRule="auto"/>
        <w:ind w:firstLine="630" w:firstLineChars="300"/>
        <w:outlineLvl w:val="3"/>
        <w:rPr>
          <w:rFonts w:ascii="宋体"/>
          <w:szCs w:val="22"/>
        </w:rPr>
      </w:pPr>
      <w:bookmarkStart w:id="3815" w:name="_Toc497235783"/>
      <w:r>
        <w:rPr>
          <w:rFonts w:ascii="宋体" w:hAnsi="宋体"/>
          <w:szCs w:val="22"/>
        </w:rPr>
        <w:t xml:space="preserve">2.3.2  </w:t>
      </w:r>
      <w:r>
        <w:rPr>
          <w:rFonts w:hint="eastAsia" w:ascii="宋体" w:hAnsi="宋体"/>
          <w:szCs w:val="22"/>
        </w:rPr>
        <w:t>如果分部分项工程和单价措施项目清单中涉及“材料和工程设备暂估价表”中列出的材料和工程设备，则按照本节第</w:t>
      </w:r>
      <w:r>
        <w:rPr>
          <w:rFonts w:ascii="宋体" w:hAnsi="宋体"/>
          <w:szCs w:val="22"/>
        </w:rPr>
        <w:t>3.2.2</w:t>
      </w:r>
      <w:r>
        <w:rPr>
          <w:rFonts w:hint="eastAsia" w:ascii="宋体" w:hAnsi="宋体"/>
          <w:szCs w:val="22"/>
        </w:rPr>
        <w:t>项的报价原则，将该类材料和工程设备的暂估单价本身，以及除对应的税金以外的费用计入分部分项工程和单价措施项目清单相应子目的综合单价中。</w:t>
      </w:r>
      <w:bookmarkEnd w:id="3815"/>
    </w:p>
    <w:p>
      <w:pPr>
        <w:spacing w:line="360" w:lineRule="auto"/>
        <w:ind w:firstLine="630" w:firstLineChars="300"/>
        <w:outlineLvl w:val="3"/>
        <w:rPr>
          <w:rFonts w:ascii="宋体"/>
          <w:szCs w:val="22"/>
        </w:rPr>
      </w:pPr>
      <w:bookmarkStart w:id="3816" w:name="_Toc497235784"/>
      <w:r>
        <w:rPr>
          <w:rFonts w:ascii="宋体" w:hAnsi="宋体"/>
          <w:szCs w:val="22"/>
        </w:rPr>
        <w:t xml:space="preserve">2.3.3  </w:t>
      </w:r>
      <w:r>
        <w:rPr>
          <w:rFonts w:hint="eastAsia" w:ascii="宋体" w:hAnsi="宋体"/>
          <w:szCs w:val="22"/>
        </w:rPr>
        <w:t>如果分部分项工程和单价措施项目清单中涉及“发包人提供的材料和工程设备一览表”（见第四章“合同条款专用部分”附件四）中列出的材料和工程设备，则该类材料和工程设备供应至现场指定位置的采购供应价本身不计入投标报价，但应将该类材料和工程设备的安装、安装所需要的辅助材料、安装损耗以及其他必要的辅助工作及其对应的企业管理费及利润计入分部分项工程和单价措施项目清单相应子目的综合单价，并其他项目清单报价中计取与合同约定服务内容相对应的总承包服务费。</w:t>
      </w:r>
      <w:bookmarkEnd w:id="3816"/>
    </w:p>
    <w:p>
      <w:pPr>
        <w:spacing w:line="360" w:lineRule="auto"/>
        <w:ind w:firstLine="630" w:firstLineChars="300"/>
        <w:outlineLvl w:val="3"/>
        <w:rPr>
          <w:rFonts w:ascii="宋体"/>
          <w:szCs w:val="22"/>
        </w:rPr>
      </w:pPr>
      <w:bookmarkStart w:id="3817" w:name="_Toc497235785"/>
      <w:r>
        <w:rPr>
          <w:rFonts w:ascii="宋体" w:hAnsi="宋体"/>
          <w:szCs w:val="22"/>
        </w:rPr>
        <w:t xml:space="preserve">2.3.4  </w:t>
      </w:r>
      <w:r>
        <w:rPr>
          <w:rFonts w:hint="eastAsia" w:ascii="宋体" w:hAnsi="宋体"/>
          <w:szCs w:val="22"/>
        </w:rPr>
        <w:t>“分部分项工程和单价措施项目清单与计价表”所列各子目的综合单价组成中，各子目的人工、材料和机械台班消耗量由投标人按照其自身情况做充分的、竞争性考虑。材料消耗量包括损耗量。</w:t>
      </w:r>
      <w:bookmarkEnd w:id="3817"/>
    </w:p>
    <w:p>
      <w:pPr>
        <w:spacing w:line="360" w:lineRule="auto"/>
        <w:ind w:firstLine="630" w:firstLineChars="300"/>
        <w:outlineLvl w:val="3"/>
        <w:rPr>
          <w:rFonts w:ascii="宋体"/>
          <w:szCs w:val="22"/>
        </w:rPr>
      </w:pPr>
      <w:bookmarkStart w:id="3818" w:name="_Toc497235786"/>
      <w:r>
        <w:rPr>
          <w:rFonts w:ascii="宋体" w:hAnsi="宋体"/>
          <w:szCs w:val="22"/>
        </w:rPr>
        <w:t xml:space="preserve">2.3.5  </w:t>
      </w:r>
      <w:r>
        <w:rPr>
          <w:rFonts w:hint="eastAsia" w:ascii="宋体" w:hAnsi="宋体"/>
          <w:szCs w:val="22"/>
        </w:rPr>
        <w:t>投标人在投标文件中提交并构成合同文件的“主要材料和工程设备选用表”中所列的材料和工程设备的价格是指此类材料和工程设备到达施工现场指定堆放地点的落地价格，即包括采购、包装、运输、装卸、堆放等到达施工现场指定落地或堆放地点之前的全部费用，但不包括落地之后发生的仓储、保管、库损以及从堆放地点运至安装地点的二次搬运费用。“主要材料和工程设备选用表”中所列材料和工程设备的价格应与构成综合单价相应材料或工程设备的价格一致。落地之后发生的仓储、保管、库损以及从堆放地点运至安装地点的二次搬运等其他费用均应在投标报价中考虑。</w:t>
      </w:r>
      <w:bookmarkEnd w:id="3818"/>
    </w:p>
    <w:p>
      <w:pPr>
        <w:pStyle w:val="155"/>
        <w:spacing w:before="120" w:after="120"/>
      </w:pPr>
      <w:bookmarkStart w:id="3819" w:name="_Toc117350634"/>
      <w:bookmarkStart w:id="3820" w:name="_Toc482634260"/>
      <w:bookmarkStart w:id="3821" w:name="_Toc486580266"/>
      <w:bookmarkStart w:id="3822" w:name="_Toc482634100"/>
      <w:bookmarkStart w:id="3823" w:name="_Toc489280075"/>
      <w:r>
        <w:t xml:space="preserve">2.4  </w:t>
      </w:r>
      <w:r>
        <w:rPr>
          <w:rFonts w:hint="eastAsia"/>
        </w:rPr>
        <w:t>总价措施项目报价</w:t>
      </w:r>
      <w:bookmarkEnd w:id="3819"/>
      <w:bookmarkEnd w:id="3820"/>
      <w:bookmarkEnd w:id="3821"/>
      <w:bookmarkEnd w:id="3822"/>
      <w:bookmarkEnd w:id="3823"/>
    </w:p>
    <w:p>
      <w:pPr>
        <w:spacing w:line="360" w:lineRule="auto"/>
        <w:ind w:firstLine="630" w:firstLineChars="300"/>
        <w:outlineLvl w:val="3"/>
        <w:rPr>
          <w:rFonts w:ascii="宋体"/>
          <w:szCs w:val="22"/>
        </w:rPr>
      </w:pPr>
      <w:bookmarkStart w:id="3824" w:name="_Toc497235788"/>
      <w:r>
        <w:rPr>
          <w:rFonts w:ascii="宋体" w:hAnsi="宋体"/>
          <w:szCs w:val="22"/>
        </w:rPr>
        <w:t xml:space="preserve">2.4.1  </w:t>
      </w:r>
      <w:r>
        <w:rPr>
          <w:rFonts w:hint="eastAsia" w:ascii="宋体" w:hAnsi="宋体"/>
          <w:szCs w:val="22"/>
        </w:rPr>
        <w:t>总价措施项目清单计价应根据投标人的施工组织设计以“项”为单位计价。投标人所填报价格应包括除税金外的全部费用。</w:t>
      </w:r>
      <w:bookmarkEnd w:id="3824"/>
    </w:p>
    <w:p>
      <w:pPr>
        <w:spacing w:line="360" w:lineRule="auto"/>
        <w:ind w:firstLine="630" w:firstLineChars="300"/>
        <w:outlineLvl w:val="3"/>
        <w:rPr>
          <w:rFonts w:ascii="宋体"/>
          <w:szCs w:val="22"/>
        </w:rPr>
      </w:pPr>
      <w:bookmarkStart w:id="3825" w:name="_Toc497235789"/>
      <w:r>
        <w:rPr>
          <w:rFonts w:ascii="宋体" w:hAnsi="宋体"/>
          <w:szCs w:val="22"/>
        </w:rPr>
        <w:t xml:space="preserve">2.4.2  </w:t>
      </w:r>
      <w:r>
        <w:rPr>
          <w:rFonts w:hint="eastAsia" w:ascii="宋体" w:hAnsi="宋体"/>
          <w:szCs w:val="22"/>
        </w:rPr>
        <w:t>安全文明施工费</w:t>
      </w:r>
      <w:r>
        <w:rPr>
          <w:rFonts w:hint="eastAsia" w:ascii="宋体" w:hAnsi="宋体"/>
        </w:rPr>
        <w:t>（特别是扬尘治理、建筑垃圾堆放、清运和消纳等综合治理污染而进行环境保护所需费用的投入）</w:t>
      </w:r>
      <w:r>
        <w:rPr>
          <w:rFonts w:hint="eastAsia" w:ascii="宋体" w:hAnsi="宋体"/>
          <w:szCs w:val="22"/>
        </w:rPr>
        <w:t>应依据施工措施、市场价格及国家、省级或行业建设主管部门的规定进行报价，不得作为让利因素。安全文明施工费的具体要求</w:t>
      </w:r>
      <w:r>
        <w:rPr>
          <w:rFonts w:hint="eastAsia" w:ascii="黑体" w:hAnsi="黑体" w:eastAsia="黑体"/>
          <w:szCs w:val="22"/>
        </w:rPr>
        <w:t>见工程量清单专用部分</w:t>
      </w:r>
      <w:r>
        <w:rPr>
          <w:rFonts w:hint="eastAsia" w:ascii="宋体" w:hAnsi="宋体"/>
          <w:szCs w:val="22"/>
        </w:rPr>
        <w:t>。</w:t>
      </w:r>
      <w:bookmarkEnd w:id="3825"/>
    </w:p>
    <w:p>
      <w:pPr>
        <w:spacing w:line="360" w:lineRule="auto"/>
        <w:ind w:firstLine="630" w:firstLineChars="300"/>
        <w:outlineLvl w:val="3"/>
        <w:rPr>
          <w:rFonts w:ascii="宋体"/>
          <w:szCs w:val="22"/>
        </w:rPr>
      </w:pPr>
      <w:bookmarkStart w:id="3826" w:name="_Toc497235791"/>
      <w:r>
        <w:rPr>
          <w:rFonts w:ascii="宋体" w:hAnsi="宋体"/>
          <w:szCs w:val="22"/>
        </w:rPr>
        <w:t xml:space="preserve">2.4.3  </w:t>
      </w:r>
      <w:r>
        <w:rPr>
          <w:rFonts w:hint="eastAsia" w:ascii="宋体" w:hAnsi="宋体"/>
          <w:szCs w:val="22"/>
        </w:rPr>
        <w:t>招标人提供的总价措施项目清单与计价表中所列项目仅指一般的通用项目，投标人在报价时应充分、全面地阅读和理解相关内容和约定，包括第五章“技术标准和要求”的相关约定，详实了解工程场地及其周围环境，充分考虑招标工程特点及拟定的施工方案和施工组织设计，对招标人给出的总价措施项目清单的内容进行细化或增补。</w:t>
      </w:r>
      <w:bookmarkEnd w:id="3826"/>
    </w:p>
    <w:p>
      <w:pPr>
        <w:spacing w:line="360" w:lineRule="auto"/>
        <w:ind w:firstLine="630" w:firstLineChars="300"/>
        <w:outlineLvl w:val="3"/>
        <w:rPr>
          <w:rFonts w:ascii="宋体"/>
          <w:szCs w:val="22"/>
        </w:rPr>
      </w:pPr>
      <w:bookmarkStart w:id="3827" w:name="_Toc497235792"/>
      <w:r>
        <w:rPr>
          <w:rFonts w:ascii="宋体" w:hAnsi="宋体"/>
          <w:szCs w:val="22"/>
        </w:rPr>
        <w:t xml:space="preserve">2.4.4  </w:t>
      </w:r>
      <w:r>
        <w:rPr>
          <w:rFonts w:hint="eastAsia" w:ascii="宋体" w:hAnsi="宋体"/>
          <w:szCs w:val="22"/>
        </w:rPr>
        <w:t>“总价措施项目清单与计价表”中所填写的报价金额，应全面涵盖招标文件约定的投标人中标后施工、竣工、交付本工程并在缺陷责任期和保修期内维修其任何缺陷所需要履行的责任和义务的全部费用。</w:t>
      </w:r>
      <w:bookmarkEnd w:id="3827"/>
    </w:p>
    <w:p>
      <w:pPr>
        <w:spacing w:line="360" w:lineRule="auto"/>
        <w:ind w:firstLine="630" w:firstLineChars="300"/>
        <w:outlineLvl w:val="3"/>
        <w:rPr>
          <w:rFonts w:ascii="宋体"/>
          <w:szCs w:val="22"/>
        </w:rPr>
      </w:pPr>
      <w:bookmarkStart w:id="3828" w:name="_Toc497235793"/>
      <w:r>
        <w:rPr>
          <w:rFonts w:ascii="宋体" w:hAnsi="宋体"/>
          <w:szCs w:val="22"/>
        </w:rPr>
        <w:t xml:space="preserve">2.4.5  </w:t>
      </w:r>
      <w:r>
        <w:rPr>
          <w:rFonts w:hint="eastAsia" w:ascii="宋体" w:hAnsi="宋体"/>
          <w:szCs w:val="22"/>
        </w:rPr>
        <w:t>对于“总价措施项目清单与计价表”中所填写的报价金额，应按照“总价措施项目清单报价分析表”对措施项目报价的组成进行详细的列项和分析。</w:t>
      </w:r>
      <w:bookmarkEnd w:id="3828"/>
    </w:p>
    <w:p>
      <w:pPr>
        <w:pStyle w:val="155"/>
        <w:spacing w:before="120" w:after="120"/>
      </w:pPr>
      <w:bookmarkStart w:id="3829" w:name="_Toc117350635"/>
      <w:bookmarkStart w:id="3830" w:name="_Toc482634101"/>
      <w:bookmarkStart w:id="3831" w:name="_Toc489280076"/>
      <w:bookmarkStart w:id="3832" w:name="_Toc482634261"/>
      <w:bookmarkStart w:id="3833" w:name="_Toc486580267"/>
      <w:r>
        <w:t xml:space="preserve">2.5  </w:t>
      </w:r>
      <w:r>
        <w:rPr>
          <w:rFonts w:hint="eastAsia"/>
        </w:rPr>
        <w:t>其他项目清单报价</w:t>
      </w:r>
      <w:bookmarkEnd w:id="3829"/>
      <w:bookmarkEnd w:id="3830"/>
      <w:bookmarkEnd w:id="3831"/>
      <w:bookmarkEnd w:id="3832"/>
      <w:bookmarkEnd w:id="3833"/>
    </w:p>
    <w:p>
      <w:pPr>
        <w:spacing w:line="360" w:lineRule="auto"/>
        <w:ind w:firstLine="630" w:firstLineChars="300"/>
        <w:outlineLvl w:val="3"/>
        <w:rPr>
          <w:rFonts w:ascii="宋体"/>
          <w:szCs w:val="22"/>
        </w:rPr>
      </w:pPr>
      <w:bookmarkStart w:id="3834" w:name="_Toc497235795"/>
      <w:r>
        <w:rPr>
          <w:rFonts w:ascii="宋体" w:hAnsi="宋体"/>
          <w:szCs w:val="22"/>
        </w:rPr>
        <w:t xml:space="preserve">2.5.1  </w:t>
      </w:r>
      <w:r>
        <w:rPr>
          <w:rFonts w:hint="eastAsia" w:ascii="宋体" w:hAnsi="宋体"/>
          <w:szCs w:val="22"/>
        </w:rPr>
        <w:t>暂列金额按“暂列金额明细表”中列出的不含税金额进行报价，此处的暂列金额是招标人在招标文件中统一给定的，并不包括本章第</w:t>
      </w:r>
      <w:r>
        <w:rPr>
          <w:rFonts w:ascii="宋体" w:hAnsi="宋体"/>
          <w:szCs w:val="22"/>
        </w:rPr>
        <w:t>2.5.3</w:t>
      </w:r>
      <w:r>
        <w:rPr>
          <w:rFonts w:hint="eastAsia" w:ascii="宋体" w:hAnsi="宋体"/>
          <w:szCs w:val="22"/>
        </w:rPr>
        <w:t>项的计日工金额。</w:t>
      </w:r>
      <w:bookmarkEnd w:id="3834"/>
    </w:p>
    <w:p>
      <w:pPr>
        <w:spacing w:line="360" w:lineRule="auto"/>
        <w:ind w:firstLine="630" w:firstLineChars="300"/>
        <w:outlineLvl w:val="3"/>
        <w:rPr>
          <w:rFonts w:ascii="宋体"/>
          <w:szCs w:val="22"/>
        </w:rPr>
      </w:pPr>
      <w:bookmarkStart w:id="3835" w:name="_Toc497235796"/>
      <w:r>
        <w:rPr>
          <w:rFonts w:ascii="宋体" w:hAnsi="宋体"/>
          <w:szCs w:val="22"/>
        </w:rPr>
        <w:t xml:space="preserve">2.5.2  </w:t>
      </w:r>
      <w:r>
        <w:rPr>
          <w:rFonts w:hint="eastAsia" w:ascii="宋体" w:hAnsi="宋体"/>
          <w:szCs w:val="22"/>
        </w:rPr>
        <w:t>暂估价分为材料和工程设备暂估单价和专业工程暂估价两类。其中的材料和工程设备暂估单价按本节第</w:t>
      </w:r>
      <w:r>
        <w:rPr>
          <w:rFonts w:ascii="宋体" w:hAnsi="宋体"/>
          <w:szCs w:val="22"/>
        </w:rPr>
        <w:t>3.2.2</w:t>
      </w:r>
      <w:r>
        <w:rPr>
          <w:rFonts w:hint="eastAsia" w:ascii="宋体" w:hAnsi="宋体"/>
          <w:szCs w:val="22"/>
        </w:rPr>
        <w:t>项的报价原则进入分部分项工程和单价措施项目清单之综合单价，不在其他项目清单中汇总；专业工程暂估价直接按“专业工程暂估价表”中列出的不含税金额和本节第</w:t>
      </w:r>
      <w:r>
        <w:rPr>
          <w:rFonts w:ascii="宋体" w:hAnsi="宋体"/>
          <w:szCs w:val="22"/>
        </w:rPr>
        <w:t>3.2.3</w:t>
      </w:r>
      <w:r>
        <w:rPr>
          <w:rFonts w:hint="eastAsia" w:ascii="宋体" w:hAnsi="宋体"/>
          <w:szCs w:val="22"/>
        </w:rPr>
        <w:t>项的报价原则计入其他项目清单报价。</w:t>
      </w:r>
      <w:bookmarkEnd w:id="3835"/>
    </w:p>
    <w:p>
      <w:pPr>
        <w:spacing w:line="360" w:lineRule="auto"/>
        <w:ind w:firstLine="630" w:firstLineChars="300"/>
        <w:outlineLvl w:val="3"/>
        <w:rPr>
          <w:rFonts w:ascii="宋体"/>
          <w:szCs w:val="22"/>
        </w:rPr>
      </w:pPr>
      <w:bookmarkStart w:id="3836" w:name="_Toc497235797"/>
      <w:r>
        <w:rPr>
          <w:rFonts w:ascii="宋体" w:hAnsi="宋体"/>
          <w:szCs w:val="22"/>
        </w:rPr>
        <w:t xml:space="preserve">2.5.3  </w:t>
      </w:r>
      <w:r>
        <w:rPr>
          <w:rFonts w:hint="eastAsia" w:ascii="宋体" w:hAnsi="宋体"/>
          <w:szCs w:val="22"/>
        </w:rPr>
        <w:t>计日工按“计日工表”中列出的子目和估算数量，自主确定综合单价并计算计日工金额。计日工综合单价均不包括税金，其中：</w:t>
      </w:r>
      <w:bookmarkEnd w:id="3836"/>
    </w:p>
    <w:p>
      <w:pPr>
        <w:spacing w:line="360" w:lineRule="auto"/>
        <w:ind w:firstLine="630" w:firstLineChars="300"/>
        <w:outlineLvl w:val="3"/>
        <w:rPr>
          <w:rFonts w:ascii="宋体"/>
          <w:szCs w:val="22"/>
        </w:rPr>
      </w:pPr>
      <w:bookmarkStart w:id="3837" w:name="_Toc497235798"/>
      <w:r>
        <w:rPr>
          <w:rFonts w:hint="eastAsia" w:ascii="宋体" w:hAnsi="宋体"/>
          <w:szCs w:val="22"/>
        </w:rPr>
        <w:t>（</w:t>
      </w:r>
      <w:r>
        <w:rPr>
          <w:rFonts w:ascii="宋体" w:hAnsi="宋体"/>
          <w:szCs w:val="22"/>
        </w:rPr>
        <w:t>1</w:t>
      </w:r>
      <w:r>
        <w:rPr>
          <w:rFonts w:hint="eastAsia" w:ascii="宋体" w:hAnsi="宋体"/>
          <w:szCs w:val="22"/>
        </w:rPr>
        <w:t>）劳务单价应当包括工人工资、交通费用、各种补贴、劳动安全保护、社保费用、手提手动和电动工器具、施工场地内已经搭设的脚手架、水电和低值易耗品费用、企业管理费、利润和规费；</w:t>
      </w:r>
      <w:bookmarkEnd w:id="3837"/>
    </w:p>
    <w:p>
      <w:pPr>
        <w:spacing w:line="360" w:lineRule="auto"/>
        <w:ind w:firstLine="654" w:firstLineChars="300"/>
        <w:outlineLvl w:val="3"/>
        <w:rPr>
          <w:rFonts w:ascii="宋体"/>
          <w:spacing w:val="4"/>
          <w:szCs w:val="22"/>
        </w:rPr>
      </w:pPr>
      <w:bookmarkStart w:id="3838" w:name="_Toc497235799"/>
      <w:r>
        <w:rPr>
          <w:rFonts w:hint="eastAsia" w:ascii="宋体" w:hAnsi="宋体"/>
          <w:spacing w:val="4"/>
          <w:szCs w:val="22"/>
        </w:rPr>
        <w:t>（</w:t>
      </w:r>
      <w:r>
        <w:rPr>
          <w:rFonts w:ascii="宋体" w:hAnsi="宋体"/>
          <w:spacing w:val="4"/>
          <w:szCs w:val="22"/>
        </w:rPr>
        <w:t>2</w:t>
      </w:r>
      <w:r>
        <w:rPr>
          <w:rFonts w:hint="eastAsia" w:ascii="宋体" w:hAnsi="宋体"/>
          <w:spacing w:val="4"/>
          <w:szCs w:val="22"/>
        </w:rPr>
        <w:t>）材料价格包括材料运到现场的价格以及现场搬运、仓储、二次搬运、损耗和保险；</w:t>
      </w:r>
      <w:bookmarkEnd w:id="3838"/>
    </w:p>
    <w:p>
      <w:pPr>
        <w:spacing w:line="360" w:lineRule="auto"/>
        <w:ind w:firstLine="630" w:firstLineChars="300"/>
        <w:outlineLvl w:val="3"/>
        <w:rPr>
          <w:rFonts w:ascii="宋体"/>
          <w:szCs w:val="22"/>
        </w:rPr>
      </w:pPr>
      <w:bookmarkStart w:id="3839" w:name="_Toc497235800"/>
      <w:r>
        <w:rPr>
          <w:rFonts w:hint="eastAsia" w:ascii="宋体" w:hAnsi="宋体"/>
          <w:szCs w:val="22"/>
        </w:rPr>
        <w:t>（</w:t>
      </w:r>
      <w:r>
        <w:rPr>
          <w:rFonts w:ascii="宋体" w:hAnsi="宋体"/>
          <w:szCs w:val="22"/>
        </w:rPr>
        <w:t>3</w:t>
      </w:r>
      <w:r>
        <w:rPr>
          <w:rFonts w:hint="eastAsia" w:ascii="宋体" w:hAnsi="宋体"/>
          <w:szCs w:val="22"/>
        </w:rPr>
        <w:t>）施工机械限于在施工场地（现场）的机械设备，其价格包括租赁或折旧、维修、维护和燃油等消耗品以及操作人员费用，包括承包人企业管理费、利润和规费，但不包括税金。辅助人员按劳务价格另计。</w:t>
      </w:r>
      <w:bookmarkEnd w:id="3839"/>
    </w:p>
    <w:p>
      <w:pPr>
        <w:spacing w:line="360" w:lineRule="auto"/>
        <w:ind w:firstLine="630" w:firstLineChars="300"/>
        <w:outlineLvl w:val="3"/>
        <w:rPr>
          <w:rFonts w:ascii="宋体"/>
          <w:szCs w:val="22"/>
        </w:rPr>
      </w:pPr>
      <w:bookmarkStart w:id="3840" w:name="_Toc497235801"/>
      <w:r>
        <w:rPr>
          <w:rFonts w:ascii="宋体" w:hAnsi="宋体"/>
          <w:szCs w:val="22"/>
        </w:rPr>
        <w:t xml:space="preserve">2.5.4  </w:t>
      </w:r>
      <w:r>
        <w:rPr>
          <w:rFonts w:hint="eastAsia" w:ascii="宋体" w:hAnsi="宋体"/>
          <w:szCs w:val="22"/>
        </w:rPr>
        <w:t>总承包服务费根据招标文件中列出的内容和要求，按“总承包服务费计价表”所列格式自主报价。在合同履行过程中，总承包服务费的调整方法</w:t>
      </w:r>
      <w:r>
        <w:rPr>
          <w:rFonts w:hint="eastAsia" w:ascii="黑体" w:hAnsi="黑体" w:eastAsia="黑体"/>
          <w:szCs w:val="22"/>
        </w:rPr>
        <w:t>见工程量清单专用部分</w:t>
      </w:r>
      <w:r>
        <w:rPr>
          <w:rFonts w:hint="eastAsia" w:ascii="宋体" w:hAnsi="宋体"/>
          <w:szCs w:val="22"/>
        </w:rPr>
        <w:t>。</w:t>
      </w:r>
      <w:bookmarkEnd w:id="3840"/>
    </w:p>
    <w:p>
      <w:pPr>
        <w:pStyle w:val="155"/>
        <w:spacing w:before="120" w:after="120"/>
      </w:pPr>
      <w:bookmarkStart w:id="3841" w:name="_Toc486580268"/>
      <w:bookmarkStart w:id="3842" w:name="_Toc489280077"/>
      <w:bookmarkStart w:id="3843" w:name="_Toc482634262"/>
      <w:bookmarkStart w:id="3844" w:name="_Toc482634102"/>
      <w:bookmarkStart w:id="3845" w:name="_Toc117350636"/>
      <w:r>
        <w:t xml:space="preserve">2.6  </w:t>
      </w:r>
      <w:r>
        <w:rPr>
          <w:rFonts w:hint="eastAsia"/>
        </w:rPr>
        <w:t>税金</w:t>
      </w:r>
      <w:bookmarkEnd w:id="3841"/>
      <w:bookmarkEnd w:id="3842"/>
      <w:bookmarkEnd w:id="3843"/>
      <w:bookmarkEnd w:id="3844"/>
      <w:bookmarkEnd w:id="3845"/>
    </w:p>
    <w:p>
      <w:pPr>
        <w:spacing w:line="360" w:lineRule="auto"/>
        <w:ind w:firstLine="630" w:firstLineChars="300"/>
        <w:outlineLvl w:val="3"/>
        <w:rPr>
          <w:rFonts w:ascii="宋体"/>
          <w:szCs w:val="22"/>
        </w:rPr>
      </w:pPr>
      <w:bookmarkStart w:id="3846" w:name="_Toc497235803"/>
      <w:r>
        <w:rPr>
          <w:rFonts w:hint="eastAsia" w:ascii="宋体" w:hAnsi="宋体"/>
          <w:szCs w:val="22"/>
        </w:rPr>
        <w:t>税金应按“税金项目清单与计价表”所列项目并根据国家、省级或行业建设主管部门的有关规定计算，不得作为竞争性费用。</w:t>
      </w:r>
      <w:bookmarkEnd w:id="3846"/>
    </w:p>
    <w:p>
      <w:pPr>
        <w:pStyle w:val="155"/>
        <w:spacing w:before="120" w:after="120"/>
      </w:pPr>
      <w:bookmarkStart w:id="3847" w:name="_Toc486580269"/>
      <w:bookmarkStart w:id="3848" w:name="_Toc482634263"/>
      <w:bookmarkStart w:id="3849" w:name="_Toc482634103"/>
      <w:bookmarkStart w:id="3850" w:name="_Toc489280078"/>
      <w:bookmarkStart w:id="3851" w:name="_Toc117350637"/>
      <w:r>
        <w:t xml:space="preserve">2.7  </w:t>
      </w:r>
      <w:r>
        <w:rPr>
          <w:rFonts w:hint="eastAsia"/>
        </w:rPr>
        <w:t>投标报价需要说明的问题</w:t>
      </w:r>
      <w:bookmarkEnd w:id="3847"/>
      <w:bookmarkEnd w:id="3848"/>
      <w:bookmarkEnd w:id="3849"/>
      <w:bookmarkEnd w:id="3850"/>
      <w:bookmarkEnd w:id="3851"/>
    </w:p>
    <w:p>
      <w:pPr>
        <w:spacing w:line="360" w:lineRule="auto"/>
        <w:ind w:firstLine="630" w:firstLineChars="300"/>
        <w:outlineLvl w:val="3"/>
        <w:rPr>
          <w:rFonts w:ascii="宋体"/>
          <w:szCs w:val="22"/>
        </w:rPr>
      </w:pPr>
      <w:bookmarkStart w:id="3852" w:name="_Toc497235805"/>
      <w:r>
        <w:rPr>
          <w:rFonts w:ascii="宋体" w:hAnsi="宋体"/>
          <w:szCs w:val="22"/>
        </w:rPr>
        <w:t xml:space="preserve">2.7.1  </w:t>
      </w:r>
      <w:r>
        <w:rPr>
          <w:rFonts w:hint="eastAsia" w:ascii="宋体" w:hAnsi="宋体"/>
          <w:szCs w:val="22"/>
        </w:rPr>
        <w:t>除招标文件有强制性规定以及不可竞争部分以外，投标报价由投标人自主确定，但不得低于其成本。</w:t>
      </w:r>
      <w:bookmarkEnd w:id="3852"/>
    </w:p>
    <w:p>
      <w:pPr>
        <w:spacing w:line="360" w:lineRule="auto"/>
        <w:ind w:firstLine="630" w:firstLineChars="300"/>
        <w:outlineLvl w:val="3"/>
        <w:rPr>
          <w:rFonts w:ascii="宋体"/>
          <w:szCs w:val="22"/>
        </w:rPr>
      </w:pPr>
      <w:bookmarkStart w:id="3853" w:name="_Toc497235806"/>
      <w:r>
        <w:rPr>
          <w:rFonts w:ascii="宋体" w:hAnsi="宋体"/>
          <w:szCs w:val="22"/>
        </w:rPr>
        <w:t xml:space="preserve">2.7.2  </w:t>
      </w:r>
      <w:r>
        <w:rPr>
          <w:rFonts w:hint="eastAsia" w:ascii="宋体" w:hAnsi="宋体"/>
          <w:szCs w:val="22"/>
        </w:rPr>
        <w:t>工程量清单计价所涉及的生产资源（包括各类人工、材料、工程设备、施工设备、临时设施、临时用水、临时用电等）的投标价格，应根据自身的信息渠道和采购渠道，分析其市场价格水平并判断其整个施工周期内的变化趋势，同时可以将因疫情常态化防控发生的防疫费用，计入相应投标价格，以体现投标人自身的管理水平、技术水平和综合实力。</w:t>
      </w:r>
      <w:bookmarkEnd w:id="3853"/>
    </w:p>
    <w:p>
      <w:pPr>
        <w:spacing w:line="360" w:lineRule="auto"/>
        <w:ind w:firstLine="630" w:firstLineChars="300"/>
        <w:outlineLvl w:val="3"/>
        <w:rPr>
          <w:rFonts w:ascii="宋体" w:hAnsi="宋体"/>
          <w:szCs w:val="22"/>
        </w:rPr>
      </w:pPr>
      <w:bookmarkStart w:id="3854" w:name="_Toc497235807"/>
      <w:r>
        <w:rPr>
          <w:rFonts w:ascii="宋体" w:hAnsi="宋体"/>
          <w:szCs w:val="22"/>
        </w:rPr>
        <w:t xml:space="preserve">2.7.3  </w:t>
      </w:r>
      <w:r>
        <w:rPr>
          <w:rFonts w:hint="eastAsia" w:ascii="宋体" w:hAnsi="宋体"/>
          <w:szCs w:val="22"/>
        </w:rPr>
        <w:t>企业管理费应由投标人在保证不低于其成本的基础上做竞争性考虑；利润由投标人根据自身情况和综合实力做竞争性考虑；规费由企业依据有关规定自主测算并合理确定，但社会保险费和住房公积金的各项缴费标准应执行国家和北京市相关主管部门的规定。</w:t>
      </w:r>
      <w:bookmarkEnd w:id="3854"/>
    </w:p>
    <w:p>
      <w:pPr>
        <w:spacing w:line="360" w:lineRule="auto"/>
        <w:ind w:firstLine="630" w:firstLineChars="300"/>
        <w:outlineLvl w:val="3"/>
        <w:rPr>
          <w:rFonts w:ascii="宋体" w:hAnsi="宋体"/>
          <w:szCs w:val="22"/>
        </w:rPr>
      </w:pPr>
      <w:bookmarkStart w:id="3855" w:name="_Hlk114657582"/>
      <w:r>
        <w:rPr>
          <w:rFonts w:ascii="宋体" w:hAnsi="宋体"/>
          <w:szCs w:val="22"/>
        </w:rPr>
        <w:t xml:space="preserve">2.7.4  </w:t>
      </w:r>
      <w:r>
        <w:rPr>
          <w:rFonts w:hint="eastAsia" w:ascii="宋体" w:hAnsi="宋体"/>
          <w:szCs w:val="22"/>
        </w:rPr>
        <w:t>农民工工伤保险已包含在规费中，应按北京市人力资源和社会保障局相关文件计取。</w:t>
      </w:r>
    </w:p>
    <w:bookmarkEnd w:id="3855"/>
    <w:p>
      <w:pPr>
        <w:spacing w:line="360" w:lineRule="auto"/>
        <w:ind w:firstLine="630" w:firstLineChars="300"/>
        <w:outlineLvl w:val="3"/>
        <w:rPr>
          <w:rFonts w:ascii="宋体"/>
          <w:szCs w:val="22"/>
        </w:rPr>
      </w:pPr>
      <w:bookmarkStart w:id="3856" w:name="_Toc497235808"/>
      <w:r>
        <w:rPr>
          <w:rFonts w:ascii="宋体" w:hAnsi="宋体"/>
          <w:szCs w:val="22"/>
        </w:rPr>
        <w:t xml:space="preserve">2.7.5  </w:t>
      </w:r>
      <w:bookmarkStart w:id="3857" w:name="_Hlk114149240"/>
      <w:r>
        <w:rPr>
          <w:rFonts w:hint="eastAsia" w:ascii="宋体" w:hAnsi="宋体"/>
          <w:szCs w:val="22"/>
        </w:rPr>
        <w:t>投标人在“费率报价表”中填报的费率应与“综合单价分析表”中所使用的费率一致，不一致时以“综合单价分析表”所反映的费率为准</w:t>
      </w:r>
      <w:bookmarkEnd w:id="3857"/>
      <w:r>
        <w:rPr>
          <w:rFonts w:hint="eastAsia" w:ascii="宋体" w:hAnsi="宋体"/>
          <w:szCs w:val="22"/>
        </w:rPr>
        <w:t>，并遵照下列原则：</w:t>
      </w:r>
      <w:bookmarkEnd w:id="3856"/>
    </w:p>
    <w:p>
      <w:pPr>
        <w:spacing w:line="360" w:lineRule="auto"/>
        <w:ind w:firstLine="630" w:firstLineChars="300"/>
        <w:outlineLvl w:val="3"/>
        <w:rPr>
          <w:rFonts w:ascii="宋体"/>
          <w:szCs w:val="22"/>
        </w:rPr>
      </w:pPr>
      <w:bookmarkStart w:id="3858" w:name="_Toc497235809"/>
      <w:r>
        <w:rPr>
          <w:rFonts w:hint="eastAsia" w:ascii="宋体" w:hAnsi="宋体"/>
          <w:szCs w:val="22"/>
        </w:rPr>
        <w:t>针对同一分部分项工程，如果承包人在已标价工程量清单中未使用统一的企业管理费费率、利润费率及规费费率，在合同履行过程中需要采用已标价工程量清单中相应费率组成新增子目的综合单价时，将适用已标价工程量清单中相应分部分项工程子目单价中所采用费率的最低值，措施项目亦适用同样原则。</w:t>
      </w:r>
      <w:bookmarkEnd w:id="3858"/>
    </w:p>
    <w:p>
      <w:pPr>
        <w:spacing w:line="360" w:lineRule="auto"/>
        <w:ind w:firstLine="630" w:firstLineChars="300"/>
        <w:outlineLvl w:val="3"/>
        <w:rPr>
          <w:rFonts w:ascii="宋体"/>
          <w:szCs w:val="22"/>
        </w:rPr>
      </w:pPr>
      <w:bookmarkStart w:id="3859" w:name="_Toc497235810"/>
      <w:r>
        <w:rPr>
          <w:rFonts w:ascii="宋体" w:hAnsi="宋体"/>
          <w:szCs w:val="22"/>
        </w:rPr>
        <w:t xml:space="preserve">2.7.6  </w:t>
      </w:r>
      <w:r>
        <w:rPr>
          <w:rFonts w:hint="eastAsia" w:ascii="宋体" w:hAnsi="宋体"/>
          <w:szCs w:val="22"/>
        </w:rPr>
        <w:t>投标报价中应考虑招标文件中要求投标人承担的风险范围以及相关的费用。</w:t>
      </w:r>
      <w:bookmarkEnd w:id="3859"/>
    </w:p>
    <w:p>
      <w:pPr>
        <w:spacing w:line="360" w:lineRule="auto"/>
        <w:ind w:firstLine="630" w:firstLineChars="300"/>
        <w:outlineLvl w:val="3"/>
        <w:rPr>
          <w:rFonts w:ascii="宋体"/>
          <w:szCs w:val="22"/>
        </w:rPr>
      </w:pPr>
      <w:bookmarkStart w:id="3860" w:name="_Toc497235811"/>
      <w:r>
        <w:rPr>
          <w:rFonts w:ascii="宋体" w:hAnsi="宋体"/>
          <w:szCs w:val="22"/>
        </w:rPr>
        <w:t xml:space="preserve">2.7.7  </w:t>
      </w:r>
      <w:r>
        <w:rPr>
          <w:rFonts w:hint="eastAsia" w:ascii="宋体" w:hAnsi="宋体"/>
          <w:szCs w:val="22"/>
        </w:rPr>
        <w:t>投标总价为投标人在投标文件中提出的各项支付金额的总和，为实施、完成招标工程并修补缺陷以及履行招标文件中约定的风险范围内的所有责任和义务所发生的全部费用。</w:t>
      </w:r>
      <w:bookmarkEnd w:id="3860"/>
    </w:p>
    <w:p>
      <w:pPr>
        <w:spacing w:line="360" w:lineRule="auto"/>
        <w:ind w:firstLine="630" w:firstLineChars="300"/>
        <w:outlineLvl w:val="3"/>
        <w:rPr>
          <w:rFonts w:ascii="宋体"/>
          <w:szCs w:val="22"/>
        </w:rPr>
      </w:pPr>
      <w:bookmarkStart w:id="3861" w:name="_Toc497235812"/>
      <w:r>
        <w:rPr>
          <w:rFonts w:ascii="宋体" w:hAnsi="宋体"/>
          <w:szCs w:val="22"/>
        </w:rPr>
        <w:t xml:space="preserve">2.7.8  </w:t>
      </w:r>
      <w:r>
        <w:rPr>
          <w:rFonts w:hint="eastAsia" w:ascii="宋体" w:hAnsi="宋体"/>
          <w:szCs w:val="22"/>
        </w:rPr>
        <w:t>有关投标报价的其他说明</w:t>
      </w:r>
      <w:r>
        <w:rPr>
          <w:rFonts w:hint="eastAsia" w:ascii="黑体" w:hAnsi="黑体" w:eastAsia="黑体"/>
          <w:szCs w:val="22"/>
        </w:rPr>
        <w:t>见工程量清单专用部分</w:t>
      </w:r>
      <w:r>
        <w:rPr>
          <w:rFonts w:hint="eastAsia" w:ascii="宋体" w:hAnsi="宋体"/>
          <w:szCs w:val="22"/>
        </w:rPr>
        <w:t>。</w:t>
      </w:r>
      <w:bookmarkEnd w:id="3861"/>
    </w:p>
    <w:p>
      <w:pPr>
        <w:pStyle w:val="144"/>
        <w:spacing w:before="120" w:after="120"/>
      </w:pPr>
      <w:bookmarkStart w:id="3862" w:name="_Toc489280079"/>
      <w:bookmarkStart w:id="3863" w:name="_Toc480481039"/>
      <w:bookmarkStart w:id="3864" w:name="_Toc490222672"/>
      <w:bookmarkStart w:id="3865" w:name="_Toc482634264"/>
      <w:bookmarkStart w:id="3866" w:name="_Toc480481055"/>
      <w:bookmarkStart w:id="3867" w:name="_Toc486580270"/>
      <w:bookmarkStart w:id="3868" w:name="_Toc482634104"/>
      <w:bookmarkStart w:id="3869" w:name="_Toc117350638"/>
      <w:r>
        <w:t>3.</w:t>
      </w:r>
      <w:r>
        <w:rPr>
          <w:rFonts w:hint="eastAsia"/>
        </w:rPr>
        <w:t>其他说明</w:t>
      </w:r>
      <w:bookmarkEnd w:id="3862"/>
      <w:bookmarkEnd w:id="3863"/>
      <w:bookmarkEnd w:id="3864"/>
      <w:bookmarkEnd w:id="3865"/>
      <w:bookmarkEnd w:id="3866"/>
      <w:bookmarkEnd w:id="3867"/>
      <w:bookmarkEnd w:id="3868"/>
      <w:bookmarkEnd w:id="3869"/>
    </w:p>
    <w:p>
      <w:pPr>
        <w:pStyle w:val="155"/>
        <w:spacing w:before="120" w:after="120"/>
      </w:pPr>
      <w:bookmarkStart w:id="3870" w:name="_Toc486580271"/>
      <w:bookmarkStart w:id="3871" w:name="_Toc489280080"/>
      <w:bookmarkStart w:id="3872" w:name="_Toc482634105"/>
      <w:bookmarkStart w:id="3873" w:name="_Toc482634265"/>
      <w:bookmarkStart w:id="3874" w:name="_Toc117350639"/>
      <w:r>
        <w:t xml:space="preserve">3.1  </w:t>
      </w:r>
      <w:r>
        <w:rPr>
          <w:rFonts w:hint="eastAsia"/>
        </w:rPr>
        <w:t>工程量差异调整（适用于单价合同）</w:t>
      </w:r>
      <w:bookmarkEnd w:id="3870"/>
      <w:bookmarkEnd w:id="3871"/>
      <w:bookmarkEnd w:id="3872"/>
      <w:bookmarkEnd w:id="3873"/>
      <w:bookmarkEnd w:id="3874"/>
    </w:p>
    <w:p>
      <w:pPr>
        <w:spacing w:line="360" w:lineRule="auto"/>
        <w:ind w:firstLine="630" w:firstLineChars="300"/>
        <w:outlineLvl w:val="3"/>
        <w:rPr>
          <w:rFonts w:ascii="宋体"/>
          <w:szCs w:val="22"/>
        </w:rPr>
      </w:pPr>
      <w:bookmarkStart w:id="3875" w:name="_Toc497235815"/>
      <w:r>
        <w:rPr>
          <w:rFonts w:ascii="宋体" w:hAnsi="宋体"/>
          <w:szCs w:val="22"/>
        </w:rPr>
        <w:t xml:space="preserve">3.1.1  </w:t>
      </w:r>
      <w:r>
        <w:rPr>
          <w:rFonts w:hint="eastAsia" w:ascii="宋体" w:hAnsi="宋体"/>
          <w:szCs w:val="22"/>
        </w:rPr>
        <w:t>已标价工程量清单中的工作内容分类、子目列项、特征描述以及“分部分项工程和单价措施项目清单与计价表”中附带的工程量都不应理解为是对承包（招标）范围以及合同工作内容的唯一的、最终的或全部的定义。</w:t>
      </w:r>
      <w:bookmarkEnd w:id="3875"/>
    </w:p>
    <w:p>
      <w:pPr>
        <w:spacing w:line="360" w:lineRule="auto"/>
        <w:ind w:firstLine="630" w:firstLineChars="300"/>
        <w:outlineLvl w:val="3"/>
        <w:rPr>
          <w:rFonts w:ascii="宋体"/>
          <w:szCs w:val="22"/>
        </w:rPr>
      </w:pPr>
      <w:bookmarkStart w:id="3876" w:name="_Toc497235816"/>
      <w:r>
        <w:rPr>
          <w:rFonts w:ascii="宋体" w:hAnsi="宋体"/>
          <w:szCs w:val="22"/>
        </w:rPr>
        <w:t xml:space="preserve">3.1.2  </w:t>
      </w:r>
      <w:r>
        <w:rPr>
          <w:rFonts w:hint="eastAsia" w:ascii="宋体" w:hAnsi="宋体"/>
          <w:szCs w:val="22"/>
        </w:rPr>
        <w:t>投标人应对招标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项目的工程量进行重新计算和校核，对“总价措施项目清单与计价表”中列项进行校核。如果投标人经过检查和复核以后认为招标工程量清单存在差异，特别是“总价措施项目清单与计价表”中存在可能对造价产生重大影响的漏项，则投标人应将此类差异的详细情况连同按投标人须知规定提交的要求招标人澄清的其他问题一起提交给招标人，招标人在核实差异后将根据实际情况决定是否颁发工程量清单的补充和（或）修改文件。</w:t>
      </w:r>
      <w:bookmarkEnd w:id="3876"/>
    </w:p>
    <w:p>
      <w:pPr>
        <w:spacing w:line="360" w:lineRule="auto"/>
        <w:ind w:firstLine="630" w:firstLineChars="300"/>
        <w:outlineLvl w:val="3"/>
        <w:rPr>
          <w:rFonts w:ascii="宋体"/>
          <w:szCs w:val="22"/>
        </w:rPr>
      </w:pPr>
      <w:bookmarkStart w:id="3877" w:name="_Toc497235817"/>
      <w:r>
        <w:rPr>
          <w:rFonts w:ascii="宋体" w:hAnsi="宋体"/>
          <w:szCs w:val="22"/>
        </w:rPr>
        <w:t xml:space="preserve">3.1.3  </w:t>
      </w:r>
      <w:r>
        <w:rPr>
          <w:rFonts w:hint="eastAsia" w:ascii="宋体" w:hAnsi="宋体"/>
          <w:szCs w:val="22"/>
        </w:rPr>
        <w:t>如果招标人在检查投标人根据上文第</w:t>
      </w:r>
      <w:r>
        <w:rPr>
          <w:rFonts w:ascii="宋体" w:hAnsi="宋体"/>
          <w:szCs w:val="22"/>
        </w:rPr>
        <w:t>3.1.2</w:t>
      </w:r>
      <w:r>
        <w:rPr>
          <w:rFonts w:hint="eastAsia" w:ascii="宋体" w:hAnsi="宋体"/>
          <w:szCs w:val="22"/>
        </w:rPr>
        <w:t>项提交的工程量差异问题后认为没有必要对招标工程量清单进行补充和（或）修改，或者招标人根据上文第</w:t>
      </w:r>
      <w:r>
        <w:rPr>
          <w:rFonts w:ascii="宋体" w:hAnsi="宋体"/>
          <w:szCs w:val="22"/>
        </w:rPr>
        <w:t>3.1.2</w:t>
      </w:r>
      <w:r>
        <w:rPr>
          <w:rFonts w:hint="eastAsia" w:ascii="宋体" w:hAnsi="宋体"/>
          <w:szCs w:val="22"/>
        </w:rPr>
        <w:t>项对招标工程量清单进行了补充和（或）修改，但投标人认为招标工程量清单中的工程量依然存在差异，则此类差异不再提交招标人答疑和修正，而是直接按招标工程量清单（包括招标人可能的补充和（或）修改）进行投标报价。投标人在按照招标工程量清单进行报价时，除按照本节</w:t>
      </w:r>
      <w:r>
        <w:rPr>
          <w:rFonts w:ascii="宋体" w:hAnsi="宋体"/>
          <w:szCs w:val="22"/>
        </w:rPr>
        <w:t>2.4.3</w:t>
      </w:r>
      <w:r>
        <w:rPr>
          <w:rFonts w:hint="eastAsia" w:ascii="宋体" w:hAnsi="宋体"/>
          <w:szCs w:val="22"/>
        </w:rPr>
        <w:t>项要求对招标人提供的总价措施项目清单的内容进行细化或增补外，不得改变（包括对工程量清单子目的子目名称、子目特征描述、计量单位以及工程量的任何修改、增加或减少）招标人提供的分部分项工程和单价措施项目清单和其他项目清单。即使按照图纸和招标范围的约定并不存在的子目，只要在招标人提供的分部分项工程量清单中已经列明，投标人都需要对其报价，并纳入投标总价的计算。</w:t>
      </w:r>
      <w:bookmarkEnd w:id="3877"/>
    </w:p>
    <w:p>
      <w:pPr>
        <w:spacing w:line="360" w:lineRule="auto"/>
        <w:ind w:firstLine="630" w:firstLineChars="300"/>
        <w:outlineLvl w:val="3"/>
        <w:rPr>
          <w:rFonts w:ascii="宋体"/>
          <w:szCs w:val="22"/>
        </w:rPr>
      </w:pPr>
      <w:bookmarkStart w:id="3878" w:name="_Toc497235818"/>
      <w:r>
        <w:rPr>
          <w:rFonts w:ascii="宋体" w:hAnsi="宋体"/>
          <w:szCs w:val="22"/>
        </w:rPr>
        <w:t xml:space="preserve">3.1.4  </w:t>
      </w:r>
      <w:r>
        <w:rPr>
          <w:rFonts w:hint="eastAsia" w:ascii="宋体" w:hAnsi="宋体"/>
          <w:szCs w:val="22"/>
        </w:rPr>
        <w:t>合同履行阶段，因招标</w:t>
      </w:r>
      <w:r>
        <w:rPr>
          <w:rFonts w:hint="eastAsia" w:ascii="宋体" w:hAnsi="宋体"/>
          <w:szCs w:val="21"/>
        </w:rPr>
        <w:t>工程量清单漏项，新增分部分项工程量清单子目的，</w:t>
      </w:r>
      <w:r>
        <w:rPr>
          <w:rFonts w:hint="eastAsia" w:ascii="宋体" w:hAnsi="宋体"/>
          <w:szCs w:val="22"/>
        </w:rPr>
        <w:t>不论合同条款第</w:t>
      </w:r>
      <w:r>
        <w:rPr>
          <w:rFonts w:ascii="宋体" w:hAnsi="宋体"/>
          <w:szCs w:val="22"/>
        </w:rPr>
        <w:t>15</w:t>
      </w:r>
      <w:r>
        <w:rPr>
          <w:rFonts w:hint="eastAsia" w:ascii="宋体" w:hAnsi="宋体"/>
          <w:szCs w:val="22"/>
        </w:rPr>
        <w:t>条如何约定，此类</w:t>
      </w:r>
      <w:r>
        <w:rPr>
          <w:rFonts w:hint="eastAsia" w:ascii="宋体" w:hAnsi="宋体"/>
          <w:szCs w:val="21"/>
        </w:rPr>
        <w:t>新增分部分项工程量清单子目</w:t>
      </w:r>
      <w:r>
        <w:rPr>
          <w:rFonts w:hint="eastAsia" w:ascii="宋体" w:hAnsi="宋体"/>
          <w:szCs w:val="22"/>
        </w:rPr>
        <w:t>均应当视为变更，并按照合同约定的变更进行计量和计价。</w:t>
      </w:r>
      <w:bookmarkEnd w:id="3878"/>
    </w:p>
    <w:p>
      <w:pPr>
        <w:pStyle w:val="155"/>
        <w:spacing w:before="120" w:after="120"/>
      </w:pPr>
      <w:bookmarkStart w:id="3879" w:name="_Toc489280081"/>
      <w:bookmarkStart w:id="3880" w:name="_Toc482634106"/>
      <w:bookmarkStart w:id="3881" w:name="_Toc482634266"/>
      <w:bookmarkStart w:id="3882" w:name="_Toc486580272"/>
      <w:bookmarkStart w:id="3883" w:name="_Toc117350640"/>
      <w:r>
        <w:t xml:space="preserve">3.1  </w:t>
      </w:r>
      <w:r>
        <w:rPr>
          <w:rFonts w:hint="eastAsia"/>
        </w:rPr>
        <w:t>工程量差异调整（适用于总价合同）</w:t>
      </w:r>
      <w:bookmarkEnd w:id="3879"/>
      <w:bookmarkEnd w:id="3880"/>
      <w:bookmarkEnd w:id="3881"/>
      <w:bookmarkEnd w:id="3882"/>
      <w:bookmarkEnd w:id="3883"/>
    </w:p>
    <w:p>
      <w:pPr>
        <w:spacing w:line="360" w:lineRule="auto"/>
        <w:ind w:firstLine="630" w:firstLineChars="300"/>
        <w:outlineLvl w:val="3"/>
        <w:rPr>
          <w:rFonts w:ascii="宋体"/>
          <w:szCs w:val="22"/>
        </w:rPr>
      </w:pPr>
      <w:bookmarkStart w:id="3884" w:name="_Toc497235820"/>
      <w:r>
        <w:rPr>
          <w:rFonts w:ascii="宋体" w:hAnsi="宋体"/>
          <w:szCs w:val="22"/>
        </w:rPr>
        <w:t xml:space="preserve">3.1.1  </w:t>
      </w:r>
      <w:r>
        <w:rPr>
          <w:rFonts w:hint="eastAsia" w:ascii="宋体" w:hAnsi="宋体"/>
          <w:szCs w:val="22"/>
        </w:rPr>
        <w:t>已标价工程量清单中的工作内容分类、子目列项、特征描述以及“分部分项工程和单价措施项目清单与计价表”中附带的工程量都不应理解为是对承包（招标）范围以及合同工作内容的唯一的、最终的或全部的定义。</w:t>
      </w:r>
      <w:bookmarkEnd w:id="3884"/>
    </w:p>
    <w:p>
      <w:pPr>
        <w:spacing w:line="360" w:lineRule="auto"/>
        <w:ind w:firstLine="630" w:firstLineChars="300"/>
        <w:outlineLvl w:val="3"/>
        <w:rPr>
          <w:rFonts w:ascii="宋体"/>
          <w:szCs w:val="22"/>
        </w:rPr>
      </w:pPr>
      <w:bookmarkStart w:id="3885" w:name="_Toc497235821"/>
      <w:r>
        <w:rPr>
          <w:rFonts w:ascii="宋体" w:hAnsi="宋体"/>
          <w:szCs w:val="22"/>
        </w:rPr>
        <w:t xml:space="preserve">3.1.2  </w:t>
      </w:r>
      <w:r>
        <w:rPr>
          <w:rFonts w:hint="eastAsia" w:ascii="宋体" w:hAnsi="宋体"/>
          <w:szCs w:val="22"/>
        </w:rPr>
        <w:t>投标人应对招标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项目的工程量进行重新计算和校核，对“总价措施项目清单与计价表”中列项进行校核。如果投标人经过检查和复核以后认为招标工程量清单存在差异，则投标人应将此类差异的详细情况，连同按投标人须知规定提交的，要求招标人澄清的其他问题一起提交给招标人，招标人在核实差异后将根据实际情况决定是否颁发工程量清单的补充和（或）修改文件。</w:t>
      </w:r>
      <w:bookmarkEnd w:id="3885"/>
    </w:p>
    <w:p>
      <w:pPr>
        <w:spacing w:line="360" w:lineRule="auto"/>
        <w:ind w:firstLine="630" w:firstLineChars="300"/>
        <w:outlineLvl w:val="3"/>
        <w:rPr>
          <w:rFonts w:ascii="宋体"/>
          <w:szCs w:val="22"/>
        </w:rPr>
      </w:pPr>
      <w:bookmarkStart w:id="3886" w:name="_Toc497235822"/>
      <w:r>
        <w:rPr>
          <w:rFonts w:hint="eastAsia" w:ascii="宋体" w:hAnsi="宋体"/>
          <w:szCs w:val="22"/>
        </w:rPr>
        <w:t>如果招标人在检查投标人提交的上述工程量清单差异问题后，认为没有必要对招标工程量清单进行补充和（或）修改，或者招标人对招标工程量清单进行了补充和（或）修改，但投标人认为招标工程量清单中的工程量依然存在差异，却此类差异可能会对其投标报价的有效性产生重大影响，则投标人可以在投标截止时间前的任何时候将此类差异提交给招标人，招标人在核实差异后将根据实际情况决定是否颁发工程量清单的补充和（或）修改文件。</w:t>
      </w:r>
      <w:bookmarkEnd w:id="3886"/>
    </w:p>
    <w:p>
      <w:pPr>
        <w:spacing w:line="360" w:lineRule="auto"/>
        <w:ind w:firstLine="630" w:firstLineChars="300"/>
        <w:outlineLvl w:val="3"/>
        <w:rPr>
          <w:rFonts w:ascii="宋体"/>
          <w:szCs w:val="22"/>
        </w:rPr>
      </w:pPr>
      <w:bookmarkStart w:id="3887" w:name="_Toc497235823"/>
      <w:r>
        <w:rPr>
          <w:rFonts w:ascii="宋体" w:hAnsi="宋体"/>
          <w:szCs w:val="22"/>
        </w:rPr>
        <w:t xml:space="preserve">3.1.3  </w:t>
      </w:r>
      <w:r>
        <w:rPr>
          <w:rFonts w:hint="eastAsia" w:ascii="宋体" w:hAnsi="宋体"/>
          <w:szCs w:val="22"/>
        </w:rPr>
        <w:t>投标人应当按招标工程量清单（包括招标人补充和（或）修改）进行投标报价。投标人在按照招标工程量清单进行报价时，除按照本节</w:t>
      </w:r>
      <w:r>
        <w:rPr>
          <w:rFonts w:ascii="宋体" w:hAnsi="宋体"/>
          <w:szCs w:val="22"/>
        </w:rPr>
        <w:t>2.4.3</w:t>
      </w:r>
      <w:r>
        <w:rPr>
          <w:rFonts w:hint="eastAsia" w:ascii="宋体" w:hAnsi="宋体"/>
          <w:szCs w:val="22"/>
        </w:rPr>
        <w:t>项要求对招标人提供的总价措施项目清单的内容进行细化或增补外，不得改变（包括对工程量清单子目的子目名称、子目特征描述、计量单位以及工程量的任何修改、增加或减少）招标人提供的分部分项工程和单价措施项目清单以及其他项目清单。即使按照图纸和招标范围的约定并不存在的子目，只要在招标人提供的分部分项工程量清单中已经列明，投标人都需要对其报价，并纳入投标总价的计算。</w:t>
      </w:r>
      <w:bookmarkEnd w:id="3887"/>
    </w:p>
    <w:p>
      <w:pPr>
        <w:spacing w:line="360" w:lineRule="auto"/>
        <w:ind w:firstLine="630" w:firstLineChars="300"/>
        <w:outlineLvl w:val="3"/>
        <w:rPr>
          <w:rFonts w:ascii="宋体"/>
          <w:szCs w:val="22"/>
        </w:rPr>
      </w:pPr>
      <w:bookmarkStart w:id="3888" w:name="_Toc497235824"/>
      <w:r>
        <w:rPr>
          <w:rFonts w:ascii="宋体" w:hAnsi="宋体"/>
          <w:szCs w:val="22"/>
        </w:rPr>
        <w:t xml:space="preserve">3.1.4  </w:t>
      </w:r>
      <w:r>
        <w:rPr>
          <w:rFonts w:hint="eastAsia" w:ascii="宋体" w:hAnsi="宋体"/>
          <w:szCs w:val="22"/>
        </w:rPr>
        <w:t>投标人根据上文第</w:t>
      </w:r>
      <w:r>
        <w:rPr>
          <w:rFonts w:ascii="宋体" w:hAnsi="宋体"/>
          <w:szCs w:val="22"/>
        </w:rPr>
        <w:t>3.1.2</w:t>
      </w:r>
      <w:r>
        <w:rPr>
          <w:rFonts w:hint="eastAsia" w:ascii="宋体" w:hAnsi="宋体"/>
          <w:szCs w:val="22"/>
        </w:rPr>
        <w:t>项针对“分部分项工程和单价措施项目清单与计价表”提交了工程量清单差异问题后，招标人未按照投标人所提交差异对招标工程量清单进行补充和（或）修改，或者招标人对招标工程量清单进行了补充和（或）修改，但与投标人所提交内容仍存在差异的，一旦该投标人成为中标人且在合同履行阶段此类差异经复核确实存在的，不论合同条款第</w:t>
      </w:r>
      <w:r>
        <w:rPr>
          <w:rFonts w:ascii="宋体" w:hAnsi="宋体"/>
          <w:szCs w:val="22"/>
        </w:rPr>
        <w:t>15</w:t>
      </w:r>
      <w:r>
        <w:rPr>
          <w:rFonts w:hint="eastAsia" w:ascii="宋体" w:hAnsi="宋体"/>
          <w:szCs w:val="22"/>
        </w:rPr>
        <w:t>条如何约定，此类差异均应当视为变更，并按照合同约定的变更进行计量和计价。</w:t>
      </w:r>
      <w:bookmarkEnd w:id="3888"/>
    </w:p>
    <w:p>
      <w:pPr>
        <w:pStyle w:val="155"/>
        <w:spacing w:before="120" w:after="120"/>
      </w:pPr>
      <w:bookmarkStart w:id="3889" w:name="_Toc486580273"/>
      <w:bookmarkStart w:id="3890" w:name="_Toc489280082"/>
      <w:bookmarkStart w:id="3891" w:name="_Toc482634267"/>
      <w:bookmarkStart w:id="3892" w:name="_Toc482634107"/>
      <w:bookmarkStart w:id="3893" w:name="_Toc117350641"/>
      <w:r>
        <w:t xml:space="preserve">3.2  </w:t>
      </w:r>
      <w:r>
        <w:rPr>
          <w:rFonts w:hint="eastAsia"/>
        </w:rPr>
        <w:t>暂列金额和暂估价</w:t>
      </w:r>
      <w:bookmarkEnd w:id="3889"/>
      <w:bookmarkEnd w:id="3890"/>
      <w:bookmarkEnd w:id="3891"/>
      <w:bookmarkEnd w:id="3892"/>
      <w:bookmarkEnd w:id="3893"/>
    </w:p>
    <w:p>
      <w:pPr>
        <w:spacing w:line="360" w:lineRule="auto"/>
        <w:ind w:firstLine="630" w:firstLineChars="300"/>
        <w:outlineLvl w:val="3"/>
        <w:rPr>
          <w:rFonts w:ascii="宋体"/>
          <w:szCs w:val="22"/>
        </w:rPr>
      </w:pPr>
      <w:bookmarkStart w:id="3894" w:name="_Toc497235826"/>
      <w:r>
        <w:rPr>
          <w:rFonts w:ascii="宋体" w:hAnsi="宋体"/>
          <w:szCs w:val="22"/>
        </w:rPr>
        <w:t xml:space="preserve">3.2.1  </w:t>
      </w:r>
      <w:r>
        <w:rPr>
          <w:rFonts w:hint="eastAsia" w:ascii="宋体" w:hAnsi="宋体"/>
          <w:szCs w:val="22"/>
        </w:rPr>
        <w:t>“暂列金额明细表”中所列暂列金额（不包括计日工金额）中已经包含与其对应的企业管理费、利润和税金。投标人应按本招标文件规定，将此类暂列金额（不含税）直接纳入其他项目清单的投标价格中。</w:t>
      </w:r>
      <w:bookmarkEnd w:id="3894"/>
    </w:p>
    <w:p>
      <w:pPr>
        <w:spacing w:line="360" w:lineRule="auto"/>
        <w:ind w:firstLine="630" w:firstLineChars="300"/>
        <w:outlineLvl w:val="3"/>
        <w:rPr>
          <w:rFonts w:ascii="宋体"/>
          <w:szCs w:val="22"/>
        </w:rPr>
      </w:pPr>
      <w:bookmarkStart w:id="3895" w:name="_Toc497235827"/>
      <w:r>
        <w:rPr>
          <w:rFonts w:ascii="宋体" w:hAnsi="宋体"/>
          <w:szCs w:val="22"/>
        </w:rPr>
        <w:t xml:space="preserve">3.2.2  </w:t>
      </w:r>
      <w:r>
        <w:rPr>
          <w:rFonts w:hint="eastAsia" w:ascii="宋体" w:hAnsi="宋体"/>
          <w:szCs w:val="22"/>
        </w:rPr>
        <w:t>“材料和工程设备暂估价表”中所列的材料和工程设备暂估价是此类材料、工程设备本身运至施工现场内的工地地面价，不包括其本身所对应的企业管理费、利润、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企业管理费、利润、规费和税金。除应按本招标文件规定将此类暂估价本身纳入分部分项工程量清单相应子目的综合单价以外，投标人还应将上述材料和工程设备的安装及辅助工作所发生的费用以及与此类费用有关的企业管理费、利润和规费包含在分部分项工程量清单相应子目的综合单价中，并计取相应的税金。</w:t>
      </w:r>
      <w:bookmarkEnd w:id="3895"/>
    </w:p>
    <w:p>
      <w:pPr>
        <w:spacing w:line="360" w:lineRule="auto"/>
        <w:ind w:firstLine="630" w:firstLineChars="300"/>
        <w:outlineLvl w:val="3"/>
        <w:rPr>
          <w:rFonts w:ascii="宋体"/>
          <w:szCs w:val="22"/>
        </w:rPr>
      </w:pPr>
      <w:bookmarkStart w:id="3896" w:name="_Toc497235828"/>
      <w:r>
        <w:rPr>
          <w:rFonts w:ascii="宋体" w:hAnsi="宋体"/>
          <w:szCs w:val="22"/>
        </w:rPr>
        <w:t xml:space="preserve">3.2.3  </w:t>
      </w:r>
      <w:r>
        <w:rPr>
          <w:rFonts w:hint="eastAsia" w:ascii="宋体" w:hAnsi="宋体"/>
          <w:szCs w:val="22"/>
        </w:rPr>
        <w:t>专业工程暂估价表中所列的专业工程暂估价已经包含与其对应的企业管理费、利润、规费和税金。投标人应按本招标文件规定将此类暂估价金额（不含税）直接纳入其他项目清单的投标价格中。除按本招标文件规定将此类暂估价金额（不含税）纳入其他项目清单的投标价格中以外，投标人还需要根据招标文件规定的内容考虑相应的总承包服务费。</w:t>
      </w:r>
      <w:bookmarkEnd w:id="3896"/>
    </w:p>
    <w:p>
      <w:pPr>
        <w:pStyle w:val="155"/>
        <w:spacing w:before="120" w:after="120"/>
      </w:pPr>
      <w:bookmarkStart w:id="3897" w:name="_Toc482634108"/>
      <w:bookmarkStart w:id="3898" w:name="_Toc482634268"/>
      <w:bookmarkStart w:id="3899" w:name="_Toc486580274"/>
      <w:bookmarkStart w:id="3900" w:name="_Toc489280083"/>
      <w:bookmarkStart w:id="3901" w:name="_Toc117350642"/>
      <w:r>
        <w:t xml:space="preserve">3.3  </w:t>
      </w:r>
      <w:r>
        <w:rPr>
          <w:rFonts w:hint="eastAsia"/>
        </w:rPr>
        <w:t>需要补充的其他说明</w:t>
      </w:r>
      <w:bookmarkEnd w:id="3897"/>
      <w:bookmarkEnd w:id="3898"/>
      <w:bookmarkEnd w:id="3899"/>
      <w:bookmarkEnd w:id="3900"/>
      <w:bookmarkEnd w:id="3901"/>
    </w:p>
    <w:p>
      <w:pPr>
        <w:spacing w:line="360" w:lineRule="auto"/>
        <w:ind w:firstLine="420" w:firstLineChars="200"/>
        <w:outlineLvl w:val="3"/>
        <w:rPr>
          <w:rFonts w:ascii="宋体"/>
          <w:szCs w:val="22"/>
        </w:rPr>
      </w:pPr>
      <w:bookmarkStart w:id="3902" w:name="_Toc482634269"/>
      <w:bookmarkStart w:id="3903" w:name="_Toc482634109"/>
      <w:bookmarkStart w:id="3904" w:name="_Toc497235830"/>
      <w:r>
        <w:rPr>
          <w:rFonts w:hint="eastAsia" w:ascii="宋体" w:hAnsi="宋体"/>
          <w:szCs w:val="22"/>
        </w:rPr>
        <w:t>需要补充的其他说明</w:t>
      </w:r>
      <w:r>
        <w:rPr>
          <w:rFonts w:hint="eastAsia" w:ascii="黑体" w:hAnsi="黑体" w:eastAsia="黑体"/>
          <w:szCs w:val="22"/>
        </w:rPr>
        <w:t>见工程量清单专用部分</w:t>
      </w:r>
      <w:bookmarkEnd w:id="3902"/>
      <w:bookmarkEnd w:id="3903"/>
      <w:bookmarkStart w:id="3905" w:name="_Toc480481056"/>
      <w:bookmarkStart w:id="3906" w:name="_Toc480481040"/>
      <w:r>
        <w:rPr>
          <w:rFonts w:hint="eastAsia" w:ascii="宋体" w:hAnsi="宋体"/>
          <w:szCs w:val="22"/>
        </w:rPr>
        <w:t>。</w:t>
      </w:r>
      <w:bookmarkEnd w:id="3904"/>
    </w:p>
    <w:p>
      <w:pPr>
        <w:pStyle w:val="144"/>
        <w:spacing w:before="120" w:after="120"/>
      </w:pPr>
      <w:bookmarkStart w:id="3907" w:name="_Toc490222673"/>
      <w:bookmarkStart w:id="3908" w:name="_Toc486580275"/>
      <w:bookmarkStart w:id="3909" w:name="_Toc482634110"/>
      <w:bookmarkStart w:id="3910" w:name="_Toc482634270"/>
      <w:bookmarkStart w:id="3911" w:name="_Toc489280084"/>
      <w:bookmarkStart w:id="3912" w:name="_Toc117350643"/>
      <w:r>
        <w:t>4.</w:t>
      </w:r>
      <w:r>
        <w:rPr>
          <w:rFonts w:hint="eastAsia"/>
        </w:rPr>
        <w:t>工程量清单与计价表</w:t>
      </w:r>
      <w:bookmarkEnd w:id="3905"/>
      <w:bookmarkEnd w:id="3906"/>
      <w:bookmarkEnd w:id="3907"/>
      <w:bookmarkEnd w:id="3908"/>
      <w:bookmarkEnd w:id="3909"/>
      <w:bookmarkEnd w:id="3910"/>
      <w:bookmarkEnd w:id="3911"/>
      <w:bookmarkEnd w:id="3912"/>
    </w:p>
    <w:p>
      <w:pPr>
        <w:spacing w:line="360" w:lineRule="auto"/>
        <w:ind w:firstLine="420" w:firstLineChars="200"/>
        <w:outlineLvl w:val="3"/>
        <w:rPr>
          <w:rFonts w:ascii="宋体"/>
          <w:szCs w:val="22"/>
        </w:rPr>
      </w:pPr>
      <w:bookmarkStart w:id="3913" w:name="_Toc497235832"/>
      <w:r>
        <w:rPr>
          <w:rFonts w:hint="eastAsia" w:ascii="宋体" w:hAnsi="宋体"/>
          <w:szCs w:val="22"/>
        </w:rPr>
        <w:t>招标人应结合本工程特点编制招标工程量清单，并确保暂列金额明细表、材料和工程设备暂估价表、专业工程暂估价表中所填写内容与招标工程量清单中所填写内容一致。</w:t>
      </w:r>
      <w:bookmarkEnd w:id="3913"/>
    </w:p>
    <w:p>
      <w:pPr>
        <w:spacing w:line="360" w:lineRule="auto"/>
        <w:ind w:firstLine="420" w:firstLineChars="200"/>
        <w:outlineLvl w:val="3"/>
        <w:rPr>
          <w:rFonts w:ascii="宋体"/>
          <w:szCs w:val="22"/>
        </w:rPr>
      </w:pPr>
      <w:bookmarkStart w:id="3914" w:name="_Toc497235833"/>
      <w:r>
        <w:rPr>
          <w:rFonts w:hint="eastAsia" w:ascii="宋体" w:hAnsi="宋体"/>
          <w:szCs w:val="22"/>
        </w:rPr>
        <w:t>投标人应当使用工程量清单与计价表中提供的格式（除工程量清单封面外），填报已标价工程量清单。投标人认为工程量清单与计价表格式无法满足招标工程量清单要求时，可自行补充相应表格。</w:t>
      </w:r>
      <w:bookmarkEnd w:id="3914"/>
    </w:p>
    <w:p>
      <w:pPr>
        <w:spacing w:line="360" w:lineRule="auto"/>
        <w:ind w:firstLine="420" w:firstLineChars="200"/>
        <w:outlineLvl w:val="3"/>
        <w:rPr>
          <w:rFonts w:ascii="宋体"/>
          <w:szCs w:val="22"/>
        </w:rPr>
      </w:pPr>
      <w:bookmarkStart w:id="3915" w:name="_Toc497235834"/>
      <w:r>
        <w:rPr>
          <w:rFonts w:hint="eastAsia" w:ascii="宋体" w:hAnsi="宋体"/>
          <w:szCs w:val="22"/>
        </w:rPr>
        <w:t>工程量清单与计价表格式</w:t>
      </w:r>
      <w:r>
        <w:rPr>
          <w:rFonts w:hint="eastAsia" w:ascii="黑体" w:hAnsi="黑体" w:eastAsia="黑体"/>
          <w:szCs w:val="22"/>
        </w:rPr>
        <w:t>见工程量清单专用部分</w:t>
      </w:r>
      <w:r>
        <w:rPr>
          <w:rFonts w:hint="eastAsia" w:ascii="宋体" w:hAnsi="宋体"/>
          <w:szCs w:val="22"/>
        </w:rPr>
        <w:t>。</w:t>
      </w:r>
      <w:bookmarkEnd w:id="3915"/>
    </w:p>
    <w:p/>
    <w:p/>
    <w:sectPr>
      <w:headerReference r:id="rId23" w:type="default"/>
      <w:footerReference r:id="rId25" w:type="default"/>
      <w:headerReference r:id="rId24" w:type="even"/>
      <w:footerReference r:id="rId26" w:type="even"/>
      <w:pgSz w:w="11906" w:h="16838"/>
      <w:pgMar w:top="1440" w:right="1797" w:bottom="1440"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1123"/>
        <w:tab w:val="clear" w:pos="4153"/>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right" w:pos="8312"/>
        <w:tab w:val="clear" w:pos="4153"/>
        <w:tab w:val="clear" w:pos="8306"/>
      </w:tabs>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309</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njPWssBAACc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xbE7bnHgl+/fLj9+XX5+Jcvq&#10;5avcoT5AjYl3AVPT8NYPuDezH9CZhQ8q2vxFSQTj2N/ztb9ySETkR+vVel1hSGBsviA+e3geIqR3&#10;0luSjYZGHGDpKz99gDSmzim5mvO32pgyROP+ciBm9rDMfeSYrTTsh0nQ3rdn1NPj7BvqcNUpMe8d&#10;tjavyWzE2djPxjFEfeiQ2rLwgvDmmJBE4ZYrjLBTYRxaUTctWN6KP+8l6+Gn2v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DJ4z1rLAQAAnAMAAA4AAAAAAAAAAQAgAAAAHgEAAGRycy9lMm9E&#10;b2MueG1sUEsFBgAAAAAGAAYAWQEAAFs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309</w:t>
                    </w:r>
                    <w:r>
                      <w:fldChar w:fldCharType="end"/>
                    </w:r>
                  </w:p>
                </w:txbxContent>
              </v:textbox>
            </v:shape>
          </w:pict>
        </mc:Fallback>
      </mc:AlternateContent>
    </w:r>
    <w:r>
      <w:rPr>
        <w:rFonts w:hint="eastAsia"/>
      </w:rPr>
      <w:tab/>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1123"/>
        <w:tab w:val="clear" w:pos="4153"/>
      </w:tabs>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308</w:t>
                          </w:r>
                          <w:r>
                            <w:fldChar w:fldCharType="end"/>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Ph1VOzLAQAAnAMAAA4AAAAAAAAAAQAgAAAAHgEAAGRycy9lMm9E&#10;b2MueG1sUEsFBgAAAAAGAAYAWQEAAFs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308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sLSq8QBAACR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3iJqAkjluc+OXH98vP35df38iy&#10;en2TJeoD1Jh5HzA3DW/9gOmzH9CZmQ8q2vxFTgTjiHa+CiyHRER+tF6t1xWGBMbmC+Kzh+chQnon&#10;vSXZaGjECRZh+ekDpDF1TsnVnL/TxpQpGveXAzGzh+Xexx6zlYb9MBHa+/aMfHocfkMd7jol5r1D&#10;bbG/NBtxNvaTkWtAeHNMWLj0k1FHqKkYTqowmrYqr8Lje8l6+JO2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EsLSq8QBAACRAwAADgAAAAAAAAABACAAAAAeAQAAZHJzL2Uyb0RvYy54bWxQ&#10;SwUGAAAAAAYABgBZAQAAVAU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1123"/>
        <w:tab w:val="clear" w:pos="4153"/>
      </w:tabs>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224155" cy="1828800"/>
              <wp:effectExtent l="0" t="0" r="4445" b="1905"/>
              <wp:wrapNone/>
              <wp:docPr id="3" name="文本框 1027"/>
              <wp:cNvGraphicFramePr/>
              <a:graphic xmlns:a="http://schemas.openxmlformats.org/drawingml/2006/main">
                <a:graphicData uri="http://schemas.microsoft.com/office/word/2010/wordprocessingShape">
                  <wps:wsp>
                    <wps:cNvSpPr txBox="1"/>
                    <wps:spPr>
                      <a:xfrm>
                        <a:off x="0" y="0"/>
                        <a:ext cx="224287" cy="1828800"/>
                      </a:xfrm>
                      <a:prstGeom prst="rect">
                        <a:avLst/>
                      </a:prstGeom>
                      <a:noFill/>
                      <a:ln>
                        <a:noFill/>
                      </a:ln>
                    </wps:spPr>
                    <wps:txbx>
                      <w:txbxContent>
                        <w:p>
                          <w:pPr>
                            <w:pStyle w:val="27"/>
                          </w:pPr>
                          <w:r>
                            <w:fldChar w:fldCharType="begin"/>
                          </w:r>
                          <w:r>
                            <w:instrText xml:space="preserve"> PAGE  \* MERGEFORMAT </w:instrText>
                          </w:r>
                          <w:r>
                            <w:fldChar w:fldCharType="separate"/>
                          </w:r>
                          <w:r>
                            <w:t>18</w:t>
                          </w:r>
                          <w:r>
                            <w:fldChar w:fldCharType="end"/>
                          </w:r>
                        </w:p>
                      </w:txbxContent>
                    </wps:txbx>
                    <wps:bodyPr wrap="square" lIns="0" tIns="0" rIns="0" bIns="0" upright="1">
                      <a:spAutoFit/>
                    </wps:bodyPr>
                  </wps:wsp>
                </a:graphicData>
              </a:graphic>
            </wp:anchor>
          </w:drawing>
        </mc:Choice>
        <mc:Fallback>
          <w:pict>
            <v:shape id="文本框 1027" o:spid="_x0000_s1026" o:spt="202" type="#_x0000_t202" style="position:absolute;left:0pt;margin-top:0pt;height:144pt;width:17.65pt;mso-position-horizontal:outside;mso-position-horizontal-relative:margin;z-index:251662336;mso-width-relative:page;mso-height-relative:page;" filled="f" stroked="f" coordsize="21600,21600" o:gfxdata="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&#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Kv5DtMAAAAEAQAADwAAAAAAAAABACAAAAAiAAAA&#10;ZHJzL2Rvd25yZXYueG1sUEsBAhQAFAAAAAgAh07iQDNPStLTAQAAnQMAAA4AAAAAAAAAAQAgAAAA&#10;IgEAAGRycy9lMm9Eb2MueG1sUEsFBgAAAAAGAAYAWQEAAGc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WE2uDzAEAAJwDAAAOAAAAAAAAAAEAIAAAAB4BAABkcnMvZTJv&#10;RG9jLnhtbFBLBQYAAAAABgAGAFkBAABc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1123"/>
        <w:tab w:val="clear" w:pos="4153"/>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029"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B7wNcsBAACcAwAADgAAAGRycy9lMm9Eb2MueG1srVPNjtMwEL4j8Q6W&#10;79RphVCJ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we8DXLAQAAnAMAAA4AAAAAAAAAAQAgAAAAHgEAAGRycy9lMm9E&#10;b2MueG1sUEsFBgAAAAAGAAYAWQEAAFs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8480" behindDoc="0" locked="0" layoutInCell="1" allowOverlap="1">
              <wp:simplePos x="0" y="0"/>
              <wp:positionH relativeFrom="margin">
                <wp:posOffset>5221605</wp:posOffset>
              </wp:positionH>
              <wp:positionV relativeFrom="paragraph">
                <wp:posOffset>-635</wp:posOffset>
              </wp:positionV>
              <wp:extent cx="190500" cy="1828800"/>
              <wp:effectExtent l="0" t="0" r="0" b="1905"/>
              <wp:wrapNone/>
              <wp:docPr id="7" name="文本框 1030"/>
              <wp:cNvGraphicFramePr/>
              <a:graphic xmlns:a="http://schemas.openxmlformats.org/drawingml/2006/main">
                <a:graphicData uri="http://schemas.microsoft.com/office/word/2010/wordprocessingShape">
                  <wps:wsp>
                    <wps:cNvSpPr txBox="1"/>
                    <wps:spPr>
                      <a:xfrm>
                        <a:off x="0" y="0"/>
                        <a:ext cx="190500" cy="1828800"/>
                      </a:xfrm>
                      <a:prstGeom prst="rect">
                        <a:avLst/>
                      </a:prstGeom>
                      <a:noFill/>
                      <a:ln>
                        <a:noFill/>
                      </a:ln>
                    </wps:spPr>
                    <wps:txbx>
                      <w:txbxContent>
                        <w:p>
                          <w:pPr>
                            <w:pStyle w:val="27"/>
                          </w:pPr>
                          <w:r>
                            <w:fldChar w:fldCharType="begin"/>
                          </w:r>
                          <w:r>
                            <w:instrText xml:space="preserve"> PAGE  \* MERGEFORMAT </w:instrText>
                          </w:r>
                          <w:r>
                            <w:fldChar w:fldCharType="separate"/>
                          </w:r>
                          <w:r>
                            <w:t>37</w:t>
                          </w:r>
                          <w:r>
                            <w:fldChar w:fldCharType="end"/>
                          </w:r>
                        </w:p>
                      </w:txbxContent>
                    </wps:txbx>
                    <wps:bodyPr wrap="square" lIns="0" tIns="0" rIns="0" bIns="0" upright="1">
                      <a:spAutoFit/>
                    </wps:bodyPr>
                  </wps:wsp>
                </a:graphicData>
              </a:graphic>
            </wp:anchor>
          </w:drawing>
        </mc:Choice>
        <mc:Fallback>
          <w:pict>
            <v:shape id="文本框 1030" o:spid="_x0000_s1026" o:spt="202" type="#_x0000_t202" style="position:absolute;left:0pt;margin-left:411.15pt;margin-top:-0.05pt;height:144pt;width:15pt;mso-position-horizontal-relative:margin;z-index:251668480;mso-width-relative:page;mso-height-relative:page;" filled="f" stroked="f" coordsize="21600,21600" o:gfxdata="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EMJDDVAAAACQEAAA8AAAAAAAAAAQAgAAAAIgAAAGRy&#10;cy9kb3ducmV2LnhtbFBLAQIUABQAAAAIAIdO4kB963OCzwEAAJ0DAAAOAAAAAAAAAAEAIAAAACQB&#10;AABkcnMvZTJvRG9jLnhtbFBLBQYAAAAABgAGAFkBAABl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1123"/>
        <w:tab w:val="clear" w:pos="4153"/>
      </w:tabs>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1905"/>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30</w:t>
                          </w:r>
                          <w:r>
                            <w:fldChar w:fldCharType="end"/>
                          </w:r>
                        </w:p>
                      </w:txbxContent>
                    </wps:txbx>
                    <wps:bodyPr wrap="square" lIns="0" tIns="0" rIns="0" bIns="0" upright="1">
                      <a:spAutoFit/>
                    </wps:bodyPr>
                  </wps:wsp>
                </a:graphicData>
              </a:graphic>
            </wp:anchor>
          </w:drawing>
        </mc:Choice>
        <mc:Fallback>
          <w:pict>
            <v:shape id="文本框 1031" o:spid="_x0000_s1026" o:spt="202" type="#_x0000_t202" style="position:absolute;left:0pt;margin-top:0pt;height:144pt;width:144pt;mso-position-horizontal:outside;mso-position-horizontal-relative:margin;z-index:251667456;mso-width-relative:page;mso-height-relative:page;" filled="f" stroked="f" coordsize="21600,21600" o:gfxdata="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deK8dAAAAAFAQAADwAAAAAAAAABACAAAAAiAAAAZHJzL2Rvd25y&#10;ZXYueG1sUEsBAhQAFAAAAAgAh07iQHQ37u7NAQAAngMAAA4AAAAAAAAAAQAgAAAAH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第四章  合同条款通用部分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第五章  技术标准和要求通用部分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wordWrap w:val="0"/>
      <w:jc w:val="right"/>
    </w:pPr>
    <w:r>
      <w:rPr>
        <w:rFonts w:hint="eastAsia"/>
      </w:rPr>
      <w:t>第六章  工程量清单通用部分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left"/>
    </w:pPr>
    <w:r>
      <w:rPr>
        <w:rFonts w:hint="eastAsia"/>
      </w:rPr>
      <w:t>北京市房屋建筑和市政工程施工招标文件标准文本（20</w:t>
    </w:r>
    <w:r>
      <w:t>17</w:t>
    </w:r>
    <w:r>
      <w:rPr>
        <w:rFonts w:hint="eastAsia"/>
      </w:rPr>
      <w:t>版） 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编制说明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left"/>
    </w:pPr>
    <w:r>
      <w:rPr>
        <w:rFonts w:hint="eastAsia"/>
      </w:rPr>
      <w:t>北京市房屋建筑和市政工程施工招标文件标准文本（20</w:t>
    </w:r>
    <w:r>
      <w:t>17</w:t>
    </w:r>
    <w:r>
      <w:rPr>
        <w:rFonts w:hint="eastAsia"/>
      </w:rPr>
      <w:t>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第一章  招标公告通用部分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left"/>
    </w:pPr>
    <w:r>
      <w:rPr>
        <w:rFonts w:hint="eastAsia"/>
      </w:rPr>
      <w:t>北京市房屋建筑和市政工程施工招标文件标准文本（20</w:t>
    </w:r>
    <w:r>
      <w:t>17</w:t>
    </w:r>
    <w:r>
      <w:rPr>
        <w:rFonts w:hint="eastAsia"/>
      </w:rPr>
      <w:t>版） 通用部分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第二章  投标人须知通用部分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nThickSmallGap" w:color="auto" w:sz="12" w:space="1"/>
      </w:pBdr>
      <w:jc w:val="right"/>
    </w:pPr>
    <w:r>
      <w:rPr>
        <w:rFonts w:hint="eastAsia"/>
      </w:rPr>
      <w:t>第三章  评标办法通用部分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lZTU0MDE5MzgxOTQ3NjFmNDQ5MzRiOTI4Mzk1OTcifQ=="/>
  </w:docVars>
  <w:rsids>
    <w:rsidRoot w:val="48E17219"/>
    <w:rsid w:val="00006E26"/>
    <w:rsid w:val="00011E94"/>
    <w:rsid w:val="00016F6D"/>
    <w:rsid w:val="00036F35"/>
    <w:rsid w:val="00053C4E"/>
    <w:rsid w:val="000567B5"/>
    <w:rsid w:val="00056F4D"/>
    <w:rsid w:val="00056F90"/>
    <w:rsid w:val="0006025F"/>
    <w:rsid w:val="000640F7"/>
    <w:rsid w:val="000662C7"/>
    <w:rsid w:val="000814C6"/>
    <w:rsid w:val="00085008"/>
    <w:rsid w:val="000868F3"/>
    <w:rsid w:val="000A4BB8"/>
    <w:rsid w:val="000C7786"/>
    <w:rsid w:val="000C7D9B"/>
    <w:rsid w:val="000D2790"/>
    <w:rsid w:val="000D2C42"/>
    <w:rsid w:val="000E0A15"/>
    <w:rsid w:val="000E4F0D"/>
    <w:rsid w:val="000E6CDA"/>
    <w:rsid w:val="000F45A0"/>
    <w:rsid w:val="000F6C46"/>
    <w:rsid w:val="0010570E"/>
    <w:rsid w:val="00107BE9"/>
    <w:rsid w:val="00113AA1"/>
    <w:rsid w:val="001415B9"/>
    <w:rsid w:val="0015622E"/>
    <w:rsid w:val="001610A4"/>
    <w:rsid w:val="00161723"/>
    <w:rsid w:val="0016619D"/>
    <w:rsid w:val="00170B03"/>
    <w:rsid w:val="0017596B"/>
    <w:rsid w:val="001800BA"/>
    <w:rsid w:val="00187B1F"/>
    <w:rsid w:val="001970DF"/>
    <w:rsid w:val="001A06B5"/>
    <w:rsid w:val="001A1A4A"/>
    <w:rsid w:val="001A5525"/>
    <w:rsid w:val="001B0ECB"/>
    <w:rsid w:val="001B62E8"/>
    <w:rsid w:val="001B648B"/>
    <w:rsid w:val="001C04C3"/>
    <w:rsid w:val="001C2511"/>
    <w:rsid w:val="001C4AC5"/>
    <w:rsid w:val="001C4FD8"/>
    <w:rsid w:val="001C76D3"/>
    <w:rsid w:val="001D1F79"/>
    <w:rsid w:val="001D258E"/>
    <w:rsid w:val="001D7F48"/>
    <w:rsid w:val="001E321E"/>
    <w:rsid w:val="001E57AA"/>
    <w:rsid w:val="001E5AE5"/>
    <w:rsid w:val="001F2BD3"/>
    <w:rsid w:val="001F50C0"/>
    <w:rsid w:val="00204FFC"/>
    <w:rsid w:val="0020601E"/>
    <w:rsid w:val="002068D0"/>
    <w:rsid w:val="002113B5"/>
    <w:rsid w:val="002145E4"/>
    <w:rsid w:val="00224BB6"/>
    <w:rsid w:val="002254E2"/>
    <w:rsid w:val="00233808"/>
    <w:rsid w:val="002400E9"/>
    <w:rsid w:val="002411CE"/>
    <w:rsid w:val="00246050"/>
    <w:rsid w:val="00246584"/>
    <w:rsid w:val="00246E32"/>
    <w:rsid w:val="002474E5"/>
    <w:rsid w:val="00255128"/>
    <w:rsid w:val="00261194"/>
    <w:rsid w:val="002722D6"/>
    <w:rsid w:val="0028142E"/>
    <w:rsid w:val="00292995"/>
    <w:rsid w:val="0029396B"/>
    <w:rsid w:val="002964C6"/>
    <w:rsid w:val="00296DCF"/>
    <w:rsid w:val="002A7A3D"/>
    <w:rsid w:val="002B4553"/>
    <w:rsid w:val="002B4C4C"/>
    <w:rsid w:val="002B58F0"/>
    <w:rsid w:val="002B7835"/>
    <w:rsid w:val="002C0BEE"/>
    <w:rsid w:val="002C0CA9"/>
    <w:rsid w:val="002C104A"/>
    <w:rsid w:val="002C75EC"/>
    <w:rsid w:val="002D09C5"/>
    <w:rsid w:val="002D736F"/>
    <w:rsid w:val="002E5589"/>
    <w:rsid w:val="002E5F27"/>
    <w:rsid w:val="002E71A3"/>
    <w:rsid w:val="002F17F3"/>
    <w:rsid w:val="002F70A7"/>
    <w:rsid w:val="00301E8E"/>
    <w:rsid w:val="0030321A"/>
    <w:rsid w:val="00312176"/>
    <w:rsid w:val="00321ECC"/>
    <w:rsid w:val="003257AC"/>
    <w:rsid w:val="00327FBB"/>
    <w:rsid w:val="00344B59"/>
    <w:rsid w:val="003474F1"/>
    <w:rsid w:val="0035095E"/>
    <w:rsid w:val="00354342"/>
    <w:rsid w:val="00355FED"/>
    <w:rsid w:val="00360445"/>
    <w:rsid w:val="0036060B"/>
    <w:rsid w:val="00371120"/>
    <w:rsid w:val="00381679"/>
    <w:rsid w:val="00382E48"/>
    <w:rsid w:val="003840EE"/>
    <w:rsid w:val="003960FE"/>
    <w:rsid w:val="003A1B97"/>
    <w:rsid w:val="003A2EEB"/>
    <w:rsid w:val="003B00CC"/>
    <w:rsid w:val="003B034D"/>
    <w:rsid w:val="003B43AA"/>
    <w:rsid w:val="003C3562"/>
    <w:rsid w:val="003D2571"/>
    <w:rsid w:val="003E0C8E"/>
    <w:rsid w:val="003E5ED7"/>
    <w:rsid w:val="003F6677"/>
    <w:rsid w:val="004032E1"/>
    <w:rsid w:val="004033E0"/>
    <w:rsid w:val="0040384F"/>
    <w:rsid w:val="00412824"/>
    <w:rsid w:val="004160A5"/>
    <w:rsid w:val="00416660"/>
    <w:rsid w:val="004240D1"/>
    <w:rsid w:val="00433A8B"/>
    <w:rsid w:val="0044711A"/>
    <w:rsid w:val="0045254D"/>
    <w:rsid w:val="004527EC"/>
    <w:rsid w:val="00461E1F"/>
    <w:rsid w:val="00461F00"/>
    <w:rsid w:val="00466B99"/>
    <w:rsid w:val="004763B3"/>
    <w:rsid w:val="00480F8E"/>
    <w:rsid w:val="0048106B"/>
    <w:rsid w:val="004841FB"/>
    <w:rsid w:val="004851E3"/>
    <w:rsid w:val="00493319"/>
    <w:rsid w:val="00496316"/>
    <w:rsid w:val="004A212B"/>
    <w:rsid w:val="004B24D6"/>
    <w:rsid w:val="004B2D7B"/>
    <w:rsid w:val="004B5DAF"/>
    <w:rsid w:val="004C1531"/>
    <w:rsid w:val="004C153B"/>
    <w:rsid w:val="004C32E6"/>
    <w:rsid w:val="004C6BB0"/>
    <w:rsid w:val="004D4019"/>
    <w:rsid w:val="004D4A2B"/>
    <w:rsid w:val="004D7E57"/>
    <w:rsid w:val="00500B14"/>
    <w:rsid w:val="0050767D"/>
    <w:rsid w:val="00515F1A"/>
    <w:rsid w:val="00526799"/>
    <w:rsid w:val="005337B3"/>
    <w:rsid w:val="00534018"/>
    <w:rsid w:val="0054058F"/>
    <w:rsid w:val="00551429"/>
    <w:rsid w:val="00554112"/>
    <w:rsid w:val="005609CD"/>
    <w:rsid w:val="00560E58"/>
    <w:rsid w:val="0056308E"/>
    <w:rsid w:val="00563CAB"/>
    <w:rsid w:val="00566745"/>
    <w:rsid w:val="005729B8"/>
    <w:rsid w:val="00575800"/>
    <w:rsid w:val="00580E51"/>
    <w:rsid w:val="00580EF1"/>
    <w:rsid w:val="005835D9"/>
    <w:rsid w:val="0058690F"/>
    <w:rsid w:val="00587304"/>
    <w:rsid w:val="00593A2E"/>
    <w:rsid w:val="00594179"/>
    <w:rsid w:val="005A32B0"/>
    <w:rsid w:val="005B46CD"/>
    <w:rsid w:val="005B62CF"/>
    <w:rsid w:val="005B7D4F"/>
    <w:rsid w:val="005C2451"/>
    <w:rsid w:val="005D3668"/>
    <w:rsid w:val="005E2A8E"/>
    <w:rsid w:val="005E668B"/>
    <w:rsid w:val="005F27DA"/>
    <w:rsid w:val="005F50E5"/>
    <w:rsid w:val="00604A8C"/>
    <w:rsid w:val="006062A6"/>
    <w:rsid w:val="00611B00"/>
    <w:rsid w:val="006158D8"/>
    <w:rsid w:val="006179A7"/>
    <w:rsid w:val="00625D4A"/>
    <w:rsid w:val="00633BF8"/>
    <w:rsid w:val="00636E36"/>
    <w:rsid w:val="006412BA"/>
    <w:rsid w:val="00642537"/>
    <w:rsid w:val="00644051"/>
    <w:rsid w:val="00650586"/>
    <w:rsid w:val="00654AA2"/>
    <w:rsid w:val="00656BB7"/>
    <w:rsid w:val="00670F05"/>
    <w:rsid w:val="006722D8"/>
    <w:rsid w:val="00672336"/>
    <w:rsid w:val="00677221"/>
    <w:rsid w:val="00680B62"/>
    <w:rsid w:val="00686766"/>
    <w:rsid w:val="006A3B8D"/>
    <w:rsid w:val="006A4C48"/>
    <w:rsid w:val="006B7DFD"/>
    <w:rsid w:val="006C5E88"/>
    <w:rsid w:val="006D48E1"/>
    <w:rsid w:val="006D7C1A"/>
    <w:rsid w:val="006E040F"/>
    <w:rsid w:val="006E17D9"/>
    <w:rsid w:val="006F0077"/>
    <w:rsid w:val="006F7824"/>
    <w:rsid w:val="0070523D"/>
    <w:rsid w:val="00712BB5"/>
    <w:rsid w:val="0072359D"/>
    <w:rsid w:val="00725E4C"/>
    <w:rsid w:val="00726F60"/>
    <w:rsid w:val="007300CA"/>
    <w:rsid w:val="007312C0"/>
    <w:rsid w:val="00733BF6"/>
    <w:rsid w:val="00740C32"/>
    <w:rsid w:val="00743996"/>
    <w:rsid w:val="007458E1"/>
    <w:rsid w:val="007508C4"/>
    <w:rsid w:val="00757F38"/>
    <w:rsid w:val="00757FBB"/>
    <w:rsid w:val="00777C8B"/>
    <w:rsid w:val="007800CC"/>
    <w:rsid w:val="00780871"/>
    <w:rsid w:val="007A073E"/>
    <w:rsid w:val="007A2F2F"/>
    <w:rsid w:val="007A32E4"/>
    <w:rsid w:val="007A5A47"/>
    <w:rsid w:val="007A711C"/>
    <w:rsid w:val="007B1682"/>
    <w:rsid w:val="007B2890"/>
    <w:rsid w:val="007C5F26"/>
    <w:rsid w:val="007C7308"/>
    <w:rsid w:val="007C7F99"/>
    <w:rsid w:val="007D38BD"/>
    <w:rsid w:val="007D7081"/>
    <w:rsid w:val="007D7422"/>
    <w:rsid w:val="007E14FA"/>
    <w:rsid w:val="007E5BFC"/>
    <w:rsid w:val="007F11FF"/>
    <w:rsid w:val="007F3054"/>
    <w:rsid w:val="007F4A4F"/>
    <w:rsid w:val="007F541A"/>
    <w:rsid w:val="00800261"/>
    <w:rsid w:val="00816CC5"/>
    <w:rsid w:val="008206EE"/>
    <w:rsid w:val="00822BDE"/>
    <w:rsid w:val="008230FF"/>
    <w:rsid w:val="00843AF1"/>
    <w:rsid w:val="008521D8"/>
    <w:rsid w:val="0085580C"/>
    <w:rsid w:val="0085594E"/>
    <w:rsid w:val="00862CF0"/>
    <w:rsid w:val="00863E61"/>
    <w:rsid w:val="00877BF1"/>
    <w:rsid w:val="00880C9F"/>
    <w:rsid w:val="008811CF"/>
    <w:rsid w:val="00882E67"/>
    <w:rsid w:val="00885926"/>
    <w:rsid w:val="00886DB5"/>
    <w:rsid w:val="0089092B"/>
    <w:rsid w:val="008A1740"/>
    <w:rsid w:val="008A2A37"/>
    <w:rsid w:val="008A3E41"/>
    <w:rsid w:val="008B3838"/>
    <w:rsid w:val="008B5E80"/>
    <w:rsid w:val="008B7FEE"/>
    <w:rsid w:val="008C0DF6"/>
    <w:rsid w:val="008C2822"/>
    <w:rsid w:val="008C3B9B"/>
    <w:rsid w:val="008C6BFD"/>
    <w:rsid w:val="008D34FC"/>
    <w:rsid w:val="008E4B5C"/>
    <w:rsid w:val="008E7604"/>
    <w:rsid w:val="009063BC"/>
    <w:rsid w:val="00907822"/>
    <w:rsid w:val="009116A6"/>
    <w:rsid w:val="0091210E"/>
    <w:rsid w:val="00923616"/>
    <w:rsid w:val="00931439"/>
    <w:rsid w:val="009326CA"/>
    <w:rsid w:val="00932ED6"/>
    <w:rsid w:val="00941C06"/>
    <w:rsid w:val="00946AE1"/>
    <w:rsid w:val="00950028"/>
    <w:rsid w:val="00950DC8"/>
    <w:rsid w:val="00951347"/>
    <w:rsid w:val="009532A6"/>
    <w:rsid w:val="00955679"/>
    <w:rsid w:val="009568E9"/>
    <w:rsid w:val="009627BC"/>
    <w:rsid w:val="00966A1F"/>
    <w:rsid w:val="00973AEE"/>
    <w:rsid w:val="00976648"/>
    <w:rsid w:val="0098467D"/>
    <w:rsid w:val="009902F5"/>
    <w:rsid w:val="0099488B"/>
    <w:rsid w:val="009A1BEE"/>
    <w:rsid w:val="009A3535"/>
    <w:rsid w:val="009A4319"/>
    <w:rsid w:val="009B1D23"/>
    <w:rsid w:val="009C48B5"/>
    <w:rsid w:val="009C6BA0"/>
    <w:rsid w:val="009D0540"/>
    <w:rsid w:val="009D4D1B"/>
    <w:rsid w:val="009D7ABD"/>
    <w:rsid w:val="009D7C69"/>
    <w:rsid w:val="009E4D9A"/>
    <w:rsid w:val="00A032BC"/>
    <w:rsid w:val="00A04277"/>
    <w:rsid w:val="00A04865"/>
    <w:rsid w:val="00A06B90"/>
    <w:rsid w:val="00A116AC"/>
    <w:rsid w:val="00A11FEA"/>
    <w:rsid w:val="00A1483D"/>
    <w:rsid w:val="00A32FC6"/>
    <w:rsid w:val="00A33311"/>
    <w:rsid w:val="00A36B8C"/>
    <w:rsid w:val="00A41DAE"/>
    <w:rsid w:val="00A451FC"/>
    <w:rsid w:val="00A469C9"/>
    <w:rsid w:val="00A50EE3"/>
    <w:rsid w:val="00A54643"/>
    <w:rsid w:val="00A56010"/>
    <w:rsid w:val="00A601FC"/>
    <w:rsid w:val="00A6213E"/>
    <w:rsid w:val="00A631EF"/>
    <w:rsid w:val="00A65611"/>
    <w:rsid w:val="00A74480"/>
    <w:rsid w:val="00A81C33"/>
    <w:rsid w:val="00A83155"/>
    <w:rsid w:val="00A93491"/>
    <w:rsid w:val="00A958D2"/>
    <w:rsid w:val="00A961C2"/>
    <w:rsid w:val="00A9725F"/>
    <w:rsid w:val="00AA6E13"/>
    <w:rsid w:val="00AB01D1"/>
    <w:rsid w:val="00AC494A"/>
    <w:rsid w:val="00AD446D"/>
    <w:rsid w:val="00AD6493"/>
    <w:rsid w:val="00AE0C77"/>
    <w:rsid w:val="00AE54B9"/>
    <w:rsid w:val="00AE7EF6"/>
    <w:rsid w:val="00AF0416"/>
    <w:rsid w:val="00AF1E9F"/>
    <w:rsid w:val="00AF2B27"/>
    <w:rsid w:val="00AF3B8C"/>
    <w:rsid w:val="00AF3FB0"/>
    <w:rsid w:val="00B00AC3"/>
    <w:rsid w:val="00B06E40"/>
    <w:rsid w:val="00B11D6A"/>
    <w:rsid w:val="00B26602"/>
    <w:rsid w:val="00B33D78"/>
    <w:rsid w:val="00B342C1"/>
    <w:rsid w:val="00B3502D"/>
    <w:rsid w:val="00B370E4"/>
    <w:rsid w:val="00B45FAD"/>
    <w:rsid w:val="00B5687E"/>
    <w:rsid w:val="00B6257B"/>
    <w:rsid w:val="00B63AA8"/>
    <w:rsid w:val="00B675F6"/>
    <w:rsid w:val="00B702F3"/>
    <w:rsid w:val="00B756FA"/>
    <w:rsid w:val="00B75B71"/>
    <w:rsid w:val="00B81E3E"/>
    <w:rsid w:val="00B8322E"/>
    <w:rsid w:val="00BA0F9E"/>
    <w:rsid w:val="00BA39B0"/>
    <w:rsid w:val="00BB1EBE"/>
    <w:rsid w:val="00BB26D7"/>
    <w:rsid w:val="00BB2B19"/>
    <w:rsid w:val="00BB3DEF"/>
    <w:rsid w:val="00BC0F14"/>
    <w:rsid w:val="00BC45A4"/>
    <w:rsid w:val="00BC5736"/>
    <w:rsid w:val="00BD2260"/>
    <w:rsid w:val="00BD371A"/>
    <w:rsid w:val="00BD39B5"/>
    <w:rsid w:val="00BD3DA4"/>
    <w:rsid w:val="00BD4183"/>
    <w:rsid w:val="00BD7D67"/>
    <w:rsid w:val="00BE2CD2"/>
    <w:rsid w:val="00BF05FA"/>
    <w:rsid w:val="00BF3E57"/>
    <w:rsid w:val="00C05993"/>
    <w:rsid w:val="00C05D08"/>
    <w:rsid w:val="00C072B4"/>
    <w:rsid w:val="00C11CAE"/>
    <w:rsid w:val="00C164AA"/>
    <w:rsid w:val="00C1662A"/>
    <w:rsid w:val="00C23530"/>
    <w:rsid w:val="00C24056"/>
    <w:rsid w:val="00C261CF"/>
    <w:rsid w:val="00C26C79"/>
    <w:rsid w:val="00C33650"/>
    <w:rsid w:val="00C43F3A"/>
    <w:rsid w:val="00C54C62"/>
    <w:rsid w:val="00C565D8"/>
    <w:rsid w:val="00C65FED"/>
    <w:rsid w:val="00C67DF5"/>
    <w:rsid w:val="00C710D3"/>
    <w:rsid w:val="00CA0253"/>
    <w:rsid w:val="00CA2349"/>
    <w:rsid w:val="00CA6755"/>
    <w:rsid w:val="00CA71B6"/>
    <w:rsid w:val="00CB0C3A"/>
    <w:rsid w:val="00CB1FFE"/>
    <w:rsid w:val="00CB6F06"/>
    <w:rsid w:val="00CC29BD"/>
    <w:rsid w:val="00CC4AFB"/>
    <w:rsid w:val="00CC6A00"/>
    <w:rsid w:val="00CC6AE2"/>
    <w:rsid w:val="00CD0402"/>
    <w:rsid w:val="00CD29AD"/>
    <w:rsid w:val="00CE5AB4"/>
    <w:rsid w:val="00CF0186"/>
    <w:rsid w:val="00CF440D"/>
    <w:rsid w:val="00CF74D9"/>
    <w:rsid w:val="00D024AF"/>
    <w:rsid w:val="00D03244"/>
    <w:rsid w:val="00D04F8F"/>
    <w:rsid w:val="00D10F9C"/>
    <w:rsid w:val="00D16D1A"/>
    <w:rsid w:val="00D17F88"/>
    <w:rsid w:val="00D204BB"/>
    <w:rsid w:val="00D233E2"/>
    <w:rsid w:val="00D31D6C"/>
    <w:rsid w:val="00D40969"/>
    <w:rsid w:val="00D44FDF"/>
    <w:rsid w:val="00D47657"/>
    <w:rsid w:val="00D533B0"/>
    <w:rsid w:val="00D53F54"/>
    <w:rsid w:val="00D62F88"/>
    <w:rsid w:val="00D6794E"/>
    <w:rsid w:val="00D72384"/>
    <w:rsid w:val="00D812D6"/>
    <w:rsid w:val="00D82A50"/>
    <w:rsid w:val="00D85C83"/>
    <w:rsid w:val="00D9286B"/>
    <w:rsid w:val="00D97E97"/>
    <w:rsid w:val="00DB3A54"/>
    <w:rsid w:val="00DB57A9"/>
    <w:rsid w:val="00DC13C6"/>
    <w:rsid w:val="00DC5D15"/>
    <w:rsid w:val="00DC6F4E"/>
    <w:rsid w:val="00DD3ADC"/>
    <w:rsid w:val="00DD44DD"/>
    <w:rsid w:val="00DD6ED1"/>
    <w:rsid w:val="00DF05F4"/>
    <w:rsid w:val="00DF24E2"/>
    <w:rsid w:val="00E0199D"/>
    <w:rsid w:val="00E03C37"/>
    <w:rsid w:val="00E15695"/>
    <w:rsid w:val="00E273DE"/>
    <w:rsid w:val="00E378FF"/>
    <w:rsid w:val="00E55E7E"/>
    <w:rsid w:val="00E574AD"/>
    <w:rsid w:val="00E57BE2"/>
    <w:rsid w:val="00E6287A"/>
    <w:rsid w:val="00E633DE"/>
    <w:rsid w:val="00E72364"/>
    <w:rsid w:val="00E75744"/>
    <w:rsid w:val="00E8061F"/>
    <w:rsid w:val="00E83FD9"/>
    <w:rsid w:val="00E87A1A"/>
    <w:rsid w:val="00E9448E"/>
    <w:rsid w:val="00EA0FBB"/>
    <w:rsid w:val="00EA266E"/>
    <w:rsid w:val="00EB105C"/>
    <w:rsid w:val="00EB658D"/>
    <w:rsid w:val="00EC09EB"/>
    <w:rsid w:val="00EC0D68"/>
    <w:rsid w:val="00EC59F1"/>
    <w:rsid w:val="00ED08AA"/>
    <w:rsid w:val="00ED34A9"/>
    <w:rsid w:val="00ED3FB5"/>
    <w:rsid w:val="00ED5698"/>
    <w:rsid w:val="00ED6E4B"/>
    <w:rsid w:val="00EE7C32"/>
    <w:rsid w:val="00EF0BCE"/>
    <w:rsid w:val="00EF3677"/>
    <w:rsid w:val="00EF656F"/>
    <w:rsid w:val="00EF6BF0"/>
    <w:rsid w:val="00F01191"/>
    <w:rsid w:val="00F03312"/>
    <w:rsid w:val="00F224CC"/>
    <w:rsid w:val="00F2567E"/>
    <w:rsid w:val="00F26C7A"/>
    <w:rsid w:val="00F422A8"/>
    <w:rsid w:val="00F42445"/>
    <w:rsid w:val="00F445DC"/>
    <w:rsid w:val="00F50088"/>
    <w:rsid w:val="00F53128"/>
    <w:rsid w:val="00F55027"/>
    <w:rsid w:val="00F63562"/>
    <w:rsid w:val="00F7248A"/>
    <w:rsid w:val="00F74DD6"/>
    <w:rsid w:val="00F7551C"/>
    <w:rsid w:val="00F764D7"/>
    <w:rsid w:val="00F81D41"/>
    <w:rsid w:val="00F922DF"/>
    <w:rsid w:val="00F956FA"/>
    <w:rsid w:val="00FA1611"/>
    <w:rsid w:val="00FA1675"/>
    <w:rsid w:val="00FA61C4"/>
    <w:rsid w:val="00FA6666"/>
    <w:rsid w:val="00FB2195"/>
    <w:rsid w:val="00FC077E"/>
    <w:rsid w:val="00FC0D63"/>
    <w:rsid w:val="00FD36AA"/>
    <w:rsid w:val="00FD3BC3"/>
    <w:rsid w:val="00FD5D6F"/>
    <w:rsid w:val="00FD6FC6"/>
    <w:rsid w:val="00FD7524"/>
    <w:rsid w:val="00FD7BD5"/>
    <w:rsid w:val="00FF4630"/>
    <w:rsid w:val="00FF679D"/>
    <w:rsid w:val="015B33A1"/>
    <w:rsid w:val="01985D00"/>
    <w:rsid w:val="01B65057"/>
    <w:rsid w:val="0322285E"/>
    <w:rsid w:val="0367360B"/>
    <w:rsid w:val="039B76EA"/>
    <w:rsid w:val="042639D3"/>
    <w:rsid w:val="047C287A"/>
    <w:rsid w:val="07103B27"/>
    <w:rsid w:val="0772754F"/>
    <w:rsid w:val="079068BC"/>
    <w:rsid w:val="07E748C6"/>
    <w:rsid w:val="093A6955"/>
    <w:rsid w:val="099C64D7"/>
    <w:rsid w:val="0A341754"/>
    <w:rsid w:val="0BC74AC0"/>
    <w:rsid w:val="0CFC7AEB"/>
    <w:rsid w:val="0D874BBD"/>
    <w:rsid w:val="0DFE0E83"/>
    <w:rsid w:val="0E4659DA"/>
    <w:rsid w:val="0E4E7BCD"/>
    <w:rsid w:val="0E626B13"/>
    <w:rsid w:val="0EFC2CA7"/>
    <w:rsid w:val="0F0631C9"/>
    <w:rsid w:val="10D366BC"/>
    <w:rsid w:val="10E54CC9"/>
    <w:rsid w:val="1396385B"/>
    <w:rsid w:val="159823A5"/>
    <w:rsid w:val="17793C46"/>
    <w:rsid w:val="18FB3311"/>
    <w:rsid w:val="190A0E0F"/>
    <w:rsid w:val="19E23285"/>
    <w:rsid w:val="1B262919"/>
    <w:rsid w:val="1C4765BF"/>
    <w:rsid w:val="1C4D2673"/>
    <w:rsid w:val="1D704F19"/>
    <w:rsid w:val="1D8D0E37"/>
    <w:rsid w:val="1DBA2191"/>
    <w:rsid w:val="1E18703E"/>
    <w:rsid w:val="1ED8342F"/>
    <w:rsid w:val="1F457714"/>
    <w:rsid w:val="21A549A3"/>
    <w:rsid w:val="22D540FA"/>
    <w:rsid w:val="261704BB"/>
    <w:rsid w:val="26FC53E9"/>
    <w:rsid w:val="277727A5"/>
    <w:rsid w:val="28565D2E"/>
    <w:rsid w:val="29453FF9"/>
    <w:rsid w:val="2A5960C7"/>
    <w:rsid w:val="2C575D86"/>
    <w:rsid w:val="2DCA6ACF"/>
    <w:rsid w:val="2E147D06"/>
    <w:rsid w:val="2E9145F5"/>
    <w:rsid w:val="2F3A58DD"/>
    <w:rsid w:val="2F41121D"/>
    <w:rsid w:val="329F4C6E"/>
    <w:rsid w:val="331960C3"/>
    <w:rsid w:val="35264E49"/>
    <w:rsid w:val="35D4750A"/>
    <w:rsid w:val="364C68A8"/>
    <w:rsid w:val="36B5525F"/>
    <w:rsid w:val="38CE21BC"/>
    <w:rsid w:val="392F2AAE"/>
    <w:rsid w:val="39A207FB"/>
    <w:rsid w:val="3CD35113"/>
    <w:rsid w:val="3D9F4572"/>
    <w:rsid w:val="41A74CA0"/>
    <w:rsid w:val="443C6CCB"/>
    <w:rsid w:val="44DD0F1E"/>
    <w:rsid w:val="474C492A"/>
    <w:rsid w:val="484A3303"/>
    <w:rsid w:val="48E17219"/>
    <w:rsid w:val="48F30F05"/>
    <w:rsid w:val="4A793EEE"/>
    <w:rsid w:val="4BB1695E"/>
    <w:rsid w:val="4C1850B0"/>
    <w:rsid w:val="4C20584A"/>
    <w:rsid w:val="4D94688A"/>
    <w:rsid w:val="4DAB48B0"/>
    <w:rsid w:val="4F7A702C"/>
    <w:rsid w:val="4FC977F3"/>
    <w:rsid w:val="50112E63"/>
    <w:rsid w:val="55455AB8"/>
    <w:rsid w:val="58CE6911"/>
    <w:rsid w:val="59703B02"/>
    <w:rsid w:val="5A2C4B7C"/>
    <w:rsid w:val="5A5703DD"/>
    <w:rsid w:val="5D4908C1"/>
    <w:rsid w:val="5D626F52"/>
    <w:rsid w:val="5FEC3AA3"/>
    <w:rsid w:val="62CA5036"/>
    <w:rsid w:val="63651098"/>
    <w:rsid w:val="64355C29"/>
    <w:rsid w:val="64905A40"/>
    <w:rsid w:val="662D0A82"/>
    <w:rsid w:val="66B142AD"/>
    <w:rsid w:val="676D716B"/>
    <w:rsid w:val="69152A51"/>
    <w:rsid w:val="6AE9237E"/>
    <w:rsid w:val="6B4A2B7C"/>
    <w:rsid w:val="6B545110"/>
    <w:rsid w:val="70277220"/>
    <w:rsid w:val="708A29D8"/>
    <w:rsid w:val="70B37976"/>
    <w:rsid w:val="70D24BDD"/>
    <w:rsid w:val="74CF2667"/>
    <w:rsid w:val="75CA7A56"/>
    <w:rsid w:val="765522A1"/>
    <w:rsid w:val="77A5257C"/>
    <w:rsid w:val="783457E2"/>
    <w:rsid w:val="785E0C24"/>
    <w:rsid w:val="79055D7E"/>
    <w:rsid w:val="7A744F5B"/>
    <w:rsid w:val="7D500E9B"/>
    <w:rsid w:val="7D5C7E42"/>
    <w:rsid w:val="7D8C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ocked="1"/>
    <w:lsdException w:uiPriority="99" w:name="index 3" w:locked="1"/>
    <w:lsdException w:uiPriority="99" w:name="index 4" w:locked="1"/>
    <w:lsdException w:qFormat="1" w:unhideWhenUsed="0" w:uiPriority="99" w:name="index 5"/>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44"/>
      <w:szCs w:val="44"/>
    </w:rPr>
  </w:style>
  <w:style w:type="paragraph" w:styleId="3">
    <w:name w:val="heading 2"/>
    <w:basedOn w:val="1"/>
    <w:next w:val="1"/>
    <w:link w:val="50"/>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0"/>
      <w:szCs w:val="20"/>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0"/>
      <w:szCs w:val="20"/>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0"/>
      <w:szCs w:val="20"/>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0"/>
      <w:szCs w:val="20"/>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0"/>
      <w:szCs w:val="20"/>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szCs w:val="20"/>
    </w:rPr>
  </w:style>
  <w:style w:type="character" w:default="1" w:styleId="43">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050"/>
      <w:jc w:val="left"/>
    </w:pPr>
    <w:rPr>
      <w:rFonts w:ascii="Calibri" w:hAnsi="Calibri"/>
      <w:sz w:val="20"/>
      <w:szCs w:val="20"/>
    </w:rPr>
  </w:style>
  <w:style w:type="paragraph" w:styleId="12">
    <w:name w:val="Normal Indent"/>
    <w:basedOn w:val="1"/>
    <w:qFormat/>
    <w:uiPriority w:val="99"/>
    <w:pPr>
      <w:ind w:firstLine="420" w:firstLineChars="200"/>
    </w:pPr>
  </w:style>
  <w:style w:type="paragraph" w:styleId="13">
    <w:name w:val="index 5"/>
    <w:basedOn w:val="1"/>
    <w:next w:val="1"/>
    <w:semiHidden/>
    <w:qFormat/>
    <w:uiPriority w:val="99"/>
    <w:pPr>
      <w:ind w:left="800" w:leftChars="800"/>
    </w:pPr>
  </w:style>
  <w:style w:type="paragraph" w:styleId="14">
    <w:name w:val="Document Map"/>
    <w:basedOn w:val="1"/>
    <w:link w:val="58"/>
    <w:semiHidden/>
    <w:qFormat/>
    <w:uiPriority w:val="99"/>
    <w:rPr>
      <w:rFonts w:ascii="宋体"/>
      <w:kern w:val="0"/>
      <w:sz w:val="18"/>
      <w:szCs w:val="18"/>
    </w:rPr>
  </w:style>
  <w:style w:type="paragraph" w:styleId="15">
    <w:name w:val="annotation text"/>
    <w:basedOn w:val="1"/>
    <w:link w:val="59"/>
    <w:qFormat/>
    <w:uiPriority w:val="99"/>
    <w:pPr>
      <w:jc w:val="left"/>
    </w:p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24"/>
    </w:rPr>
  </w:style>
  <w:style w:type="paragraph" w:styleId="18">
    <w:name w:val="Body Text Indent"/>
    <w:basedOn w:val="1"/>
    <w:link w:val="62"/>
    <w:qFormat/>
    <w:uiPriority w:val="99"/>
    <w:pPr>
      <w:spacing w:after="120"/>
      <w:ind w:left="420" w:leftChars="200"/>
    </w:pPr>
    <w:rPr>
      <w:kern w:val="0"/>
      <w:sz w:val="24"/>
    </w:rPr>
  </w:style>
  <w:style w:type="paragraph" w:styleId="19">
    <w:name w:val="Block Text"/>
    <w:basedOn w:val="1"/>
    <w:qFormat/>
    <w:uiPriority w:val="99"/>
    <w:pPr>
      <w:spacing w:after="120"/>
      <w:ind w:left="1440" w:leftChars="700" w:right="1440" w:rightChars="700"/>
    </w:pPr>
  </w:style>
  <w:style w:type="paragraph" w:styleId="20">
    <w:name w:val="toc 5"/>
    <w:basedOn w:val="1"/>
    <w:next w:val="1"/>
    <w:qFormat/>
    <w:uiPriority w:val="39"/>
    <w:pPr>
      <w:ind w:left="630"/>
      <w:jc w:val="left"/>
    </w:pPr>
    <w:rPr>
      <w:rFonts w:ascii="Calibri" w:hAnsi="Calibri"/>
      <w:sz w:val="20"/>
      <w:szCs w:val="20"/>
    </w:rPr>
  </w:style>
  <w:style w:type="paragraph" w:styleId="21">
    <w:name w:val="toc 3"/>
    <w:basedOn w:val="1"/>
    <w:next w:val="1"/>
    <w:qFormat/>
    <w:uiPriority w:val="39"/>
    <w:pPr>
      <w:tabs>
        <w:tab w:val="right" w:leader="dot" w:pos="8302"/>
      </w:tabs>
      <w:spacing w:line="288" w:lineRule="auto"/>
      <w:ind w:left="400" w:leftChars="400"/>
      <w:jc w:val="left"/>
    </w:pPr>
    <w:rPr>
      <w:rFonts w:ascii="宋体" w:hAnsi="Calibri"/>
      <w:szCs w:val="20"/>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qFormat/>
    <w:uiPriority w:val="39"/>
    <w:pPr>
      <w:ind w:left="1260"/>
      <w:jc w:val="left"/>
    </w:pPr>
    <w:rPr>
      <w:rFonts w:ascii="Calibri" w:hAnsi="Calibri"/>
      <w:sz w:val="20"/>
      <w:szCs w:val="20"/>
    </w:rPr>
  </w:style>
  <w:style w:type="paragraph" w:styleId="24">
    <w:name w:val="Date"/>
    <w:basedOn w:val="1"/>
    <w:next w:val="1"/>
    <w:link w:val="64"/>
    <w:qFormat/>
    <w:uiPriority w:val="99"/>
    <w:pPr>
      <w:adjustRightInd w:val="0"/>
      <w:spacing w:line="360" w:lineRule="atLeast"/>
    </w:pPr>
    <w:rPr>
      <w:rFonts w:ascii="宋体"/>
      <w:kern w:val="0"/>
      <w:sz w:val="20"/>
      <w:szCs w:val="20"/>
    </w:rPr>
  </w:style>
  <w:style w:type="paragraph" w:styleId="25">
    <w:name w:val="Body Text Indent 2"/>
    <w:basedOn w:val="1"/>
    <w:link w:val="65"/>
    <w:qFormat/>
    <w:uiPriority w:val="99"/>
    <w:pPr>
      <w:spacing w:after="120" w:line="480" w:lineRule="auto"/>
      <w:ind w:left="420" w:leftChars="200"/>
    </w:pPr>
    <w:rPr>
      <w:kern w:val="0"/>
      <w:sz w:val="24"/>
    </w:rPr>
  </w:style>
  <w:style w:type="paragraph" w:styleId="26">
    <w:name w:val="Balloon Text"/>
    <w:basedOn w:val="1"/>
    <w:link w:val="66"/>
    <w:semiHidden/>
    <w:qFormat/>
    <w:uiPriority w:val="99"/>
    <w:rPr>
      <w:kern w:val="0"/>
      <w:sz w:val="18"/>
      <w:szCs w:val="18"/>
    </w:rPr>
  </w:style>
  <w:style w:type="paragraph" w:styleId="27">
    <w:name w:val="footer"/>
    <w:basedOn w:val="1"/>
    <w:link w:val="67"/>
    <w:qFormat/>
    <w:uiPriority w:val="99"/>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288" w:lineRule="auto"/>
      <w:jc w:val="left"/>
    </w:pPr>
    <w:rPr>
      <w:rFonts w:ascii="宋体" w:hAnsi="宋体"/>
      <w:bCs/>
      <w:caps/>
      <w:szCs w:val="28"/>
    </w:rPr>
  </w:style>
  <w:style w:type="paragraph" w:styleId="30">
    <w:name w:val="toc 4"/>
    <w:basedOn w:val="1"/>
    <w:next w:val="1"/>
    <w:qFormat/>
    <w:uiPriority w:val="39"/>
    <w:pPr>
      <w:ind w:left="420"/>
      <w:jc w:val="left"/>
    </w:pPr>
    <w:rPr>
      <w:rFonts w:ascii="Calibri" w:hAnsi="Calibri"/>
      <w:sz w:val="20"/>
      <w:szCs w:val="20"/>
    </w:rPr>
  </w:style>
  <w:style w:type="paragraph" w:styleId="31">
    <w:name w:val="List"/>
    <w:basedOn w:val="1"/>
    <w:qFormat/>
    <w:uiPriority w:val="99"/>
    <w:pPr>
      <w:adjustRightInd w:val="0"/>
      <w:spacing w:line="360" w:lineRule="atLeast"/>
      <w:ind w:left="420" w:hanging="420"/>
      <w:jc w:val="left"/>
    </w:pPr>
    <w:rPr>
      <w:rFonts w:ascii="宋体"/>
      <w:kern w:val="0"/>
      <w:sz w:val="24"/>
      <w:szCs w:val="20"/>
    </w:rPr>
  </w:style>
  <w:style w:type="paragraph" w:styleId="32">
    <w:name w:val="toc 6"/>
    <w:basedOn w:val="1"/>
    <w:next w:val="1"/>
    <w:qFormat/>
    <w:uiPriority w:val="39"/>
    <w:pPr>
      <w:ind w:left="840"/>
      <w:jc w:val="left"/>
    </w:pPr>
    <w:rPr>
      <w:rFonts w:ascii="Calibri" w:hAnsi="Calibri"/>
      <w:sz w:val="20"/>
      <w:szCs w:val="20"/>
    </w:rPr>
  </w:style>
  <w:style w:type="paragraph" w:styleId="33">
    <w:name w:val="Body Text Indent 3"/>
    <w:basedOn w:val="1"/>
    <w:link w:val="69"/>
    <w:qFormat/>
    <w:uiPriority w:val="99"/>
    <w:pPr>
      <w:spacing w:after="120"/>
      <w:ind w:left="420" w:leftChars="200"/>
    </w:pPr>
    <w:rPr>
      <w:kern w:val="0"/>
      <w:sz w:val="16"/>
      <w:szCs w:val="16"/>
    </w:rPr>
  </w:style>
  <w:style w:type="paragraph" w:styleId="34">
    <w:name w:val="toc 2"/>
    <w:basedOn w:val="1"/>
    <w:next w:val="1"/>
    <w:qFormat/>
    <w:uiPriority w:val="39"/>
    <w:pPr>
      <w:tabs>
        <w:tab w:val="right" w:leader="dot" w:pos="8302"/>
      </w:tabs>
      <w:spacing w:line="288" w:lineRule="auto"/>
      <w:ind w:left="852" w:leftChars="204" w:hanging="424" w:hangingChars="201"/>
      <w:jc w:val="left"/>
    </w:pPr>
    <w:rPr>
      <w:rFonts w:ascii="宋体" w:hAnsi="Calibri"/>
      <w:b/>
      <w:bCs/>
      <w:szCs w:val="20"/>
    </w:rPr>
  </w:style>
  <w:style w:type="paragraph" w:styleId="35">
    <w:name w:val="toc 9"/>
    <w:basedOn w:val="1"/>
    <w:next w:val="1"/>
    <w:qFormat/>
    <w:uiPriority w:val="39"/>
    <w:pPr>
      <w:ind w:left="1470"/>
      <w:jc w:val="left"/>
    </w:pPr>
    <w:rPr>
      <w:rFonts w:ascii="Calibri" w:hAnsi="Calibri"/>
      <w:sz w:val="20"/>
      <w:szCs w:val="20"/>
    </w:rPr>
  </w:style>
  <w:style w:type="paragraph" w:styleId="36">
    <w:name w:val="Body Text 2"/>
    <w:basedOn w:val="1"/>
    <w:link w:val="70"/>
    <w:qFormat/>
    <w:uiPriority w:val="99"/>
    <w:pPr>
      <w:jc w:val="center"/>
    </w:pPr>
    <w:rPr>
      <w:rFonts w:eastAsia="黑体"/>
      <w:bCs/>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38">
    <w:name w:val="index 1"/>
    <w:basedOn w:val="1"/>
    <w:next w:val="1"/>
    <w:semiHidden/>
    <w:qFormat/>
    <w:uiPriority w:val="99"/>
    <w:pPr>
      <w:spacing w:line="220" w:lineRule="exact"/>
      <w:jc w:val="center"/>
    </w:pPr>
    <w:rPr>
      <w:rFonts w:ascii="仿宋_GB2312" w:eastAsia="仿宋_GB2312"/>
      <w:szCs w:val="21"/>
    </w:rPr>
  </w:style>
  <w:style w:type="paragraph" w:styleId="39">
    <w:name w:val="Title"/>
    <w:basedOn w:val="1"/>
    <w:link w:val="71"/>
    <w:qFormat/>
    <w:uiPriority w:val="99"/>
    <w:pPr>
      <w:adjustRightInd w:val="0"/>
      <w:jc w:val="center"/>
      <w:outlineLvl w:val="0"/>
    </w:pPr>
    <w:rPr>
      <w:b/>
      <w:kern w:val="0"/>
      <w:sz w:val="44"/>
      <w:szCs w:val="20"/>
    </w:rPr>
  </w:style>
  <w:style w:type="paragraph" w:styleId="40">
    <w:name w:val="annotation subject"/>
    <w:basedOn w:val="15"/>
    <w:next w:val="15"/>
    <w:link w:val="72"/>
    <w:semiHidden/>
    <w:qFormat/>
    <w:uiPriority w:val="99"/>
    <w:rPr>
      <w:b/>
      <w:bCs/>
      <w:kern w:val="0"/>
      <w:sz w:val="24"/>
    </w:rPr>
  </w:style>
  <w:style w:type="table" w:styleId="42">
    <w:name w:val="Table Grid"/>
    <w:basedOn w:val="41"/>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page number"/>
    <w:basedOn w:val="43"/>
    <w:qFormat/>
    <w:uiPriority w:val="99"/>
    <w:rPr>
      <w:rFonts w:cs="Times New Roman"/>
    </w:rPr>
  </w:style>
  <w:style w:type="character" w:styleId="46">
    <w:name w:val="FollowedHyperlink"/>
    <w:basedOn w:val="43"/>
    <w:qFormat/>
    <w:uiPriority w:val="99"/>
    <w:rPr>
      <w:rFonts w:cs="Times New Roman"/>
      <w:color w:val="800080"/>
      <w:u w:val="single"/>
    </w:rPr>
  </w:style>
  <w:style w:type="character" w:styleId="47">
    <w:name w:val="Hyperlink"/>
    <w:basedOn w:val="43"/>
    <w:qFormat/>
    <w:uiPriority w:val="99"/>
    <w:rPr>
      <w:rFonts w:cs="Times New Roman"/>
      <w:color w:val="0000FF"/>
      <w:u w:val="single"/>
    </w:rPr>
  </w:style>
  <w:style w:type="character" w:styleId="48">
    <w:name w:val="annotation reference"/>
    <w:basedOn w:val="43"/>
    <w:qFormat/>
    <w:uiPriority w:val="0"/>
    <w:rPr>
      <w:rFonts w:cs="Times New Roman"/>
      <w:sz w:val="21"/>
    </w:rPr>
  </w:style>
  <w:style w:type="character" w:customStyle="1" w:styleId="49">
    <w:name w:val="标题 1 字符2"/>
    <w:basedOn w:val="43"/>
    <w:link w:val="2"/>
    <w:qFormat/>
    <w:locked/>
    <w:uiPriority w:val="99"/>
    <w:rPr>
      <w:rFonts w:ascii="Times New Roman" w:hAnsi="Times New Roman" w:eastAsia="宋体" w:cs="Times New Roman"/>
      <w:b/>
      <w:bCs/>
      <w:kern w:val="44"/>
      <w:sz w:val="44"/>
      <w:szCs w:val="44"/>
    </w:rPr>
  </w:style>
  <w:style w:type="character" w:customStyle="1" w:styleId="50">
    <w:name w:val="标题 2 字符2"/>
    <w:basedOn w:val="43"/>
    <w:link w:val="3"/>
    <w:qFormat/>
    <w:locked/>
    <w:uiPriority w:val="99"/>
    <w:rPr>
      <w:rFonts w:ascii="Cambria" w:hAnsi="Cambria" w:eastAsia="宋体" w:cs="Times New Roman"/>
      <w:b/>
      <w:bCs/>
      <w:kern w:val="0"/>
      <w:sz w:val="32"/>
      <w:szCs w:val="32"/>
    </w:rPr>
  </w:style>
  <w:style w:type="character" w:customStyle="1" w:styleId="51">
    <w:name w:val="标题 3 字符2"/>
    <w:basedOn w:val="43"/>
    <w:link w:val="4"/>
    <w:qFormat/>
    <w:locked/>
    <w:uiPriority w:val="99"/>
    <w:rPr>
      <w:rFonts w:ascii="Times New Roman" w:hAnsi="Times New Roman" w:eastAsia="宋体" w:cs="Times New Roman"/>
      <w:b/>
      <w:bCs/>
      <w:kern w:val="0"/>
      <w:sz w:val="32"/>
      <w:szCs w:val="32"/>
    </w:rPr>
  </w:style>
  <w:style w:type="character" w:customStyle="1" w:styleId="52">
    <w:name w:val="标题 4 字符2"/>
    <w:basedOn w:val="43"/>
    <w:link w:val="5"/>
    <w:qFormat/>
    <w:locked/>
    <w:uiPriority w:val="99"/>
    <w:rPr>
      <w:rFonts w:ascii="Arial" w:hAnsi="Arial" w:eastAsia="黑体" w:cs="Times New Roman"/>
      <w:b/>
      <w:kern w:val="0"/>
      <w:sz w:val="20"/>
      <w:szCs w:val="20"/>
    </w:rPr>
  </w:style>
  <w:style w:type="character" w:customStyle="1" w:styleId="53">
    <w:name w:val="标题 5 字符2"/>
    <w:basedOn w:val="43"/>
    <w:link w:val="6"/>
    <w:qFormat/>
    <w:locked/>
    <w:uiPriority w:val="99"/>
    <w:rPr>
      <w:rFonts w:ascii="Times New Roman" w:hAnsi="Times New Roman" w:eastAsia="宋体" w:cs="Times New Roman"/>
      <w:b/>
      <w:kern w:val="0"/>
      <w:sz w:val="20"/>
      <w:szCs w:val="20"/>
    </w:rPr>
  </w:style>
  <w:style w:type="character" w:customStyle="1" w:styleId="54">
    <w:name w:val="标题 6 字符2"/>
    <w:basedOn w:val="43"/>
    <w:link w:val="7"/>
    <w:qFormat/>
    <w:locked/>
    <w:uiPriority w:val="99"/>
    <w:rPr>
      <w:rFonts w:ascii="Arial" w:hAnsi="Arial" w:eastAsia="黑体" w:cs="Times New Roman"/>
      <w:b/>
      <w:kern w:val="0"/>
      <w:sz w:val="20"/>
      <w:szCs w:val="20"/>
    </w:rPr>
  </w:style>
  <w:style w:type="character" w:customStyle="1" w:styleId="55">
    <w:name w:val="标题 7 字符2"/>
    <w:basedOn w:val="43"/>
    <w:link w:val="8"/>
    <w:qFormat/>
    <w:locked/>
    <w:uiPriority w:val="99"/>
    <w:rPr>
      <w:rFonts w:ascii="Times New Roman" w:hAnsi="Times New Roman" w:eastAsia="宋体" w:cs="Times New Roman"/>
      <w:b/>
      <w:kern w:val="0"/>
      <w:sz w:val="20"/>
      <w:szCs w:val="20"/>
    </w:rPr>
  </w:style>
  <w:style w:type="character" w:customStyle="1" w:styleId="56">
    <w:name w:val="标题 8 字符2"/>
    <w:basedOn w:val="43"/>
    <w:link w:val="9"/>
    <w:qFormat/>
    <w:locked/>
    <w:uiPriority w:val="99"/>
    <w:rPr>
      <w:rFonts w:ascii="Arial" w:hAnsi="Arial" w:eastAsia="黑体" w:cs="Times New Roman"/>
      <w:kern w:val="0"/>
      <w:sz w:val="20"/>
      <w:szCs w:val="20"/>
    </w:rPr>
  </w:style>
  <w:style w:type="character" w:customStyle="1" w:styleId="57">
    <w:name w:val="标题 9 字符2"/>
    <w:basedOn w:val="43"/>
    <w:link w:val="10"/>
    <w:qFormat/>
    <w:locked/>
    <w:uiPriority w:val="99"/>
    <w:rPr>
      <w:rFonts w:ascii="Arial" w:hAnsi="Arial" w:eastAsia="黑体" w:cs="Times New Roman"/>
      <w:kern w:val="0"/>
      <w:sz w:val="20"/>
      <w:szCs w:val="20"/>
    </w:rPr>
  </w:style>
  <w:style w:type="character" w:customStyle="1" w:styleId="58">
    <w:name w:val="文档结构图 字符2"/>
    <w:basedOn w:val="43"/>
    <w:link w:val="14"/>
    <w:semiHidden/>
    <w:qFormat/>
    <w:locked/>
    <w:uiPriority w:val="99"/>
    <w:rPr>
      <w:rFonts w:ascii="宋体" w:hAnsi="Times New Roman" w:eastAsia="宋体" w:cs="Times New Roman"/>
      <w:sz w:val="18"/>
    </w:rPr>
  </w:style>
  <w:style w:type="character" w:customStyle="1" w:styleId="59">
    <w:name w:val="批注文字 字符2"/>
    <w:basedOn w:val="43"/>
    <w:link w:val="15"/>
    <w:semiHidden/>
    <w:qFormat/>
    <w:locked/>
    <w:uiPriority w:val="99"/>
    <w:rPr>
      <w:rFonts w:ascii="Times New Roman" w:hAnsi="Times New Roman" w:eastAsia="宋体" w:cs="Times New Roman"/>
      <w:sz w:val="24"/>
      <w:szCs w:val="24"/>
    </w:rPr>
  </w:style>
  <w:style w:type="character" w:customStyle="1" w:styleId="60">
    <w:name w:val="正文文本 3 字符2"/>
    <w:basedOn w:val="43"/>
    <w:link w:val="16"/>
    <w:qFormat/>
    <w:locked/>
    <w:uiPriority w:val="99"/>
    <w:rPr>
      <w:rFonts w:ascii="Times New Roman" w:hAnsi="Times New Roman" w:eastAsia="宋体" w:cs="Times New Roman"/>
      <w:kern w:val="0"/>
      <w:sz w:val="16"/>
    </w:rPr>
  </w:style>
  <w:style w:type="character" w:customStyle="1" w:styleId="61">
    <w:name w:val="正文文本 字符2"/>
    <w:basedOn w:val="43"/>
    <w:link w:val="17"/>
    <w:qFormat/>
    <w:locked/>
    <w:uiPriority w:val="99"/>
    <w:rPr>
      <w:rFonts w:ascii="Times New Roman" w:hAnsi="Times New Roman" w:eastAsia="黑体" w:cs="Times New Roman"/>
      <w:kern w:val="0"/>
      <w:sz w:val="24"/>
    </w:rPr>
  </w:style>
  <w:style w:type="character" w:customStyle="1" w:styleId="62">
    <w:name w:val="正文文本缩进 字符2"/>
    <w:basedOn w:val="43"/>
    <w:link w:val="18"/>
    <w:qFormat/>
    <w:locked/>
    <w:uiPriority w:val="99"/>
    <w:rPr>
      <w:rFonts w:ascii="Times New Roman" w:hAnsi="Times New Roman" w:eastAsia="宋体" w:cs="Times New Roman"/>
      <w:kern w:val="0"/>
      <w:sz w:val="24"/>
    </w:rPr>
  </w:style>
  <w:style w:type="character" w:customStyle="1" w:styleId="63">
    <w:name w:val="纯文本 字符2"/>
    <w:basedOn w:val="43"/>
    <w:link w:val="22"/>
    <w:qFormat/>
    <w:locked/>
    <w:uiPriority w:val="99"/>
    <w:rPr>
      <w:rFonts w:ascii="宋体" w:hAnsi="Courier New" w:eastAsia="宋体" w:cs="Times New Roman"/>
      <w:kern w:val="0"/>
      <w:sz w:val="21"/>
    </w:rPr>
  </w:style>
  <w:style w:type="character" w:customStyle="1" w:styleId="64">
    <w:name w:val="日期 字符2"/>
    <w:basedOn w:val="43"/>
    <w:link w:val="24"/>
    <w:qFormat/>
    <w:locked/>
    <w:uiPriority w:val="99"/>
    <w:rPr>
      <w:rFonts w:ascii="宋体" w:hAnsi="Times New Roman" w:eastAsia="宋体" w:cs="Times New Roman"/>
      <w:kern w:val="0"/>
      <w:sz w:val="20"/>
    </w:rPr>
  </w:style>
  <w:style w:type="character" w:customStyle="1" w:styleId="65">
    <w:name w:val="正文文本缩进 2 字符2"/>
    <w:basedOn w:val="43"/>
    <w:link w:val="25"/>
    <w:qFormat/>
    <w:locked/>
    <w:uiPriority w:val="99"/>
    <w:rPr>
      <w:rFonts w:ascii="Times New Roman" w:hAnsi="Times New Roman" w:eastAsia="宋体" w:cs="Times New Roman"/>
      <w:kern w:val="0"/>
      <w:sz w:val="24"/>
    </w:rPr>
  </w:style>
  <w:style w:type="character" w:customStyle="1" w:styleId="66">
    <w:name w:val="批注框文本 字符2"/>
    <w:basedOn w:val="43"/>
    <w:link w:val="26"/>
    <w:semiHidden/>
    <w:qFormat/>
    <w:locked/>
    <w:uiPriority w:val="99"/>
    <w:rPr>
      <w:rFonts w:ascii="Times New Roman" w:hAnsi="Times New Roman" w:eastAsia="宋体" w:cs="Times New Roman"/>
      <w:sz w:val="18"/>
    </w:rPr>
  </w:style>
  <w:style w:type="character" w:customStyle="1" w:styleId="67">
    <w:name w:val="页脚 字符2"/>
    <w:basedOn w:val="43"/>
    <w:link w:val="27"/>
    <w:qFormat/>
    <w:locked/>
    <w:uiPriority w:val="99"/>
    <w:rPr>
      <w:rFonts w:cs="Times New Roman"/>
      <w:sz w:val="18"/>
      <w:szCs w:val="18"/>
    </w:rPr>
  </w:style>
  <w:style w:type="character" w:customStyle="1" w:styleId="68">
    <w:name w:val="页眉 字符2"/>
    <w:basedOn w:val="43"/>
    <w:link w:val="28"/>
    <w:qFormat/>
    <w:locked/>
    <w:uiPriority w:val="99"/>
    <w:rPr>
      <w:rFonts w:cs="Times New Roman"/>
      <w:sz w:val="18"/>
      <w:szCs w:val="18"/>
    </w:rPr>
  </w:style>
  <w:style w:type="character" w:customStyle="1" w:styleId="69">
    <w:name w:val="正文文本缩进 3 字符2"/>
    <w:basedOn w:val="43"/>
    <w:link w:val="33"/>
    <w:qFormat/>
    <w:locked/>
    <w:uiPriority w:val="99"/>
    <w:rPr>
      <w:rFonts w:ascii="Times New Roman" w:hAnsi="Times New Roman" w:eastAsia="宋体" w:cs="Times New Roman"/>
      <w:kern w:val="0"/>
      <w:sz w:val="16"/>
    </w:rPr>
  </w:style>
  <w:style w:type="character" w:customStyle="1" w:styleId="70">
    <w:name w:val="正文文本 2 字符2"/>
    <w:basedOn w:val="43"/>
    <w:link w:val="36"/>
    <w:qFormat/>
    <w:locked/>
    <w:uiPriority w:val="99"/>
    <w:rPr>
      <w:rFonts w:ascii="Times New Roman" w:hAnsi="Times New Roman" w:eastAsia="黑体" w:cs="Times New Roman"/>
      <w:kern w:val="0"/>
      <w:sz w:val="24"/>
    </w:rPr>
  </w:style>
  <w:style w:type="character" w:customStyle="1" w:styleId="71">
    <w:name w:val="标题 字符2"/>
    <w:basedOn w:val="43"/>
    <w:link w:val="39"/>
    <w:qFormat/>
    <w:locked/>
    <w:uiPriority w:val="99"/>
    <w:rPr>
      <w:rFonts w:ascii="Times New Roman" w:hAnsi="Times New Roman" w:eastAsia="宋体" w:cs="Times New Roman"/>
      <w:b/>
      <w:kern w:val="0"/>
      <w:sz w:val="20"/>
    </w:rPr>
  </w:style>
  <w:style w:type="character" w:customStyle="1" w:styleId="72">
    <w:name w:val="批注主题 字符2"/>
    <w:basedOn w:val="59"/>
    <w:link w:val="40"/>
    <w:semiHidden/>
    <w:qFormat/>
    <w:locked/>
    <w:uiPriority w:val="99"/>
    <w:rPr>
      <w:rFonts w:ascii="Times New Roman" w:hAnsi="Times New Roman" w:eastAsia="宋体" w:cs="Times New Roman"/>
      <w:b/>
      <w:kern w:val="0"/>
      <w:sz w:val="24"/>
      <w:szCs w:val="24"/>
    </w:rPr>
  </w:style>
  <w:style w:type="character" w:customStyle="1" w:styleId="73">
    <w:name w:val="Char Char11"/>
    <w:qFormat/>
    <w:uiPriority w:val="99"/>
    <w:rPr>
      <w:rFonts w:eastAsia="宋体"/>
      <w:kern w:val="2"/>
      <w:sz w:val="24"/>
      <w:lang w:val="en-US" w:eastAsia="zh-CN"/>
    </w:rPr>
  </w:style>
  <w:style w:type="character" w:customStyle="1" w:styleId="74">
    <w:name w:val="标题 4 字符1"/>
    <w:qFormat/>
    <w:locked/>
    <w:uiPriority w:val="99"/>
    <w:rPr>
      <w:rFonts w:ascii="Arial" w:hAnsi="Arial" w:eastAsia="黑体"/>
      <w:b/>
      <w:kern w:val="0"/>
      <w:sz w:val="20"/>
    </w:rPr>
  </w:style>
  <w:style w:type="character" w:customStyle="1" w:styleId="75">
    <w:name w:val="正文文本 字符"/>
    <w:semiHidden/>
    <w:qFormat/>
    <w:uiPriority w:val="99"/>
    <w:rPr>
      <w:rFonts w:ascii="Times New Roman" w:hAnsi="Times New Roman" w:eastAsia="宋体"/>
      <w:sz w:val="24"/>
    </w:rPr>
  </w:style>
  <w:style w:type="character" w:customStyle="1" w:styleId="76">
    <w:name w:val="标题 6 字符1"/>
    <w:qFormat/>
    <w:locked/>
    <w:uiPriority w:val="99"/>
    <w:rPr>
      <w:rFonts w:ascii="Arial" w:hAnsi="Arial" w:eastAsia="黑体"/>
      <w:b/>
      <w:kern w:val="0"/>
      <w:sz w:val="20"/>
    </w:rPr>
  </w:style>
  <w:style w:type="character" w:customStyle="1" w:styleId="77">
    <w:name w:val="页脚 字符1"/>
    <w:qFormat/>
    <w:locked/>
    <w:uiPriority w:val="99"/>
    <w:rPr>
      <w:rFonts w:ascii="Times New Roman" w:hAnsi="Times New Roman" w:eastAsia="宋体"/>
      <w:sz w:val="18"/>
    </w:rPr>
  </w:style>
  <w:style w:type="character" w:customStyle="1" w:styleId="78">
    <w:name w:val="标题 7 字符"/>
    <w:semiHidden/>
    <w:qFormat/>
    <w:uiPriority w:val="99"/>
    <w:rPr>
      <w:rFonts w:ascii="Times New Roman" w:hAnsi="Times New Roman" w:eastAsia="宋体"/>
      <w:b/>
      <w:sz w:val="24"/>
    </w:rPr>
  </w:style>
  <w:style w:type="character" w:customStyle="1" w:styleId="79">
    <w:name w:val="标题 7 字符1"/>
    <w:qFormat/>
    <w:locked/>
    <w:uiPriority w:val="99"/>
    <w:rPr>
      <w:rFonts w:ascii="Times New Roman" w:hAnsi="Times New Roman" w:eastAsia="宋体"/>
      <w:b/>
      <w:kern w:val="0"/>
      <w:sz w:val="20"/>
    </w:rPr>
  </w:style>
  <w:style w:type="character" w:customStyle="1" w:styleId="80">
    <w:name w:val="批注主题 字符"/>
    <w:semiHidden/>
    <w:qFormat/>
    <w:uiPriority w:val="99"/>
    <w:rPr>
      <w:rFonts w:ascii="Times New Roman" w:hAnsi="Times New Roman" w:eastAsia="宋体"/>
      <w:b/>
      <w:sz w:val="24"/>
    </w:rPr>
  </w:style>
  <w:style w:type="character" w:customStyle="1" w:styleId="81">
    <w:name w:val="标题 9 字符1"/>
    <w:qFormat/>
    <w:locked/>
    <w:uiPriority w:val="99"/>
    <w:rPr>
      <w:rFonts w:ascii="Arial" w:hAnsi="Arial" w:eastAsia="黑体"/>
      <w:kern w:val="0"/>
      <w:sz w:val="20"/>
    </w:rPr>
  </w:style>
  <w:style w:type="character" w:customStyle="1" w:styleId="82">
    <w:name w:val="标题 1 字符"/>
    <w:qFormat/>
    <w:uiPriority w:val="99"/>
    <w:rPr>
      <w:rFonts w:ascii="Times New Roman" w:hAnsi="Times New Roman" w:eastAsia="宋体"/>
      <w:b/>
      <w:kern w:val="44"/>
      <w:sz w:val="44"/>
    </w:rPr>
  </w:style>
  <w:style w:type="character" w:customStyle="1" w:styleId="83">
    <w:name w:val="标题 3 字符1"/>
    <w:qFormat/>
    <w:locked/>
    <w:uiPriority w:val="99"/>
    <w:rPr>
      <w:rFonts w:ascii="Times New Roman" w:hAnsi="Times New Roman" w:eastAsia="宋体"/>
      <w:b/>
      <w:kern w:val="0"/>
      <w:sz w:val="32"/>
    </w:rPr>
  </w:style>
  <w:style w:type="character" w:customStyle="1" w:styleId="84">
    <w:name w:val="标题 1 字符1"/>
    <w:qFormat/>
    <w:locked/>
    <w:uiPriority w:val="99"/>
    <w:rPr>
      <w:rFonts w:ascii="Times New Roman" w:hAnsi="Times New Roman" w:eastAsia="宋体"/>
      <w:b/>
      <w:kern w:val="44"/>
      <w:sz w:val="44"/>
    </w:rPr>
  </w:style>
  <w:style w:type="character" w:customStyle="1" w:styleId="85">
    <w:name w:val="页眉 字符"/>
    <w:semiHidden/>
    <w:qFormat/>
    <w:uiPriority w:val="99"/>
    <w:rPr>
      <w:rFonts w:ascii="Times New Roman" w:hAnsi="Times New Roman" w:eastAsia="宋体"/>
      <w:sz w:val="18"/>
    </w:rPr>
  </w:style>
  <w:style w:type="character" w:customStyle="1" w:styleId="86">
    <w:name w:val="页脚 字符"/>
    <w:semiHidden/>
    <w:qFormat/>
    <w:uiPriority w:val="99"/>
    <w:rPr>
      <w:rFonts w:ascii="Times New Roman" w:hAnsi="Times New Roman" w:eastAsia="宋体"/>
      <w:sz w:val="18"/>
    </w:rPr>
  </w:style>
  <w:style w:type="character" w:customStyle="1" w:styleId="87">
    <w:name w:val="页眉 字符1"/>
    <w:qFormat/>
    <w:locked/>
    <w:uiPriority w:val="99"/>
    <w:rPr>
      <w:rFonts w:ascii="Times New Roman" w:hAnsi="Times New Roman" w:eastAsia="宋体"/>
      <w:sz w:val="18"/>
    </w:rPr>
  </w:style>
  <w:style w:type="character" w:customStyle="1" w:styleId="88">
    <w:name w:val="标题 5 字符"/>
    <w:qFormat/>
    <w:uiPriority w:val="9"/>
    <w:rPr>
      <w:rFonts w:ascii="Times New Roman" w:hAnsi="Times New Roman" w:eastAsia="宋体"/>
      <w:b/>
      <w:sz w:val="28"/>
    </w:rPr>
  </w:style>
  <w:style w:type="character" w:customStyle="1" w:styleId="89">
    <w:name w:val="正文文本缩进 字符1"/>
    <w:qFormat/>
    <w:locked/>
    <w:uiPriority w:val="99"/>
    <w:rPr>
      <w:rFonts w:ascii="Times New Roman" w:hAnsi="Times New Roman" w:eastAsia="宋体"/>
      <w:kern w:val="0"/>
      <w:sz w:val="24"/>
    </w:rPr>
  </w:style>
  <w:style w:type="character" w:customStyle="1" w:styleId="90">
    <w:name w:val="批注文字 字符1"/>
    <w:semiHidden/>
    <w:qFormat/>
    <w:locked/>
    <w:uiPriority w:val="99"/>
    <w:rPr>
      <w:rFonts w:ascii="Times New Roman" w:hAnsi="Times New Roman" w:eastAsia="宋体"/>
      <w:kern w:val="0"/>
      <w:sz w:val="24"/>
    </w:rPr>
  </w:style>
  <w:style w:type="character" w:customStyle="1" w:styleId="91">
    <w:name w:val="正文文本 2 字符"/>
    <w:semiHidden/>
    <w:qFormat/>
    <w:uiPriority w:val="99"/>
    <w:rPr>
      <w:rFonts w:ascii="Times New Roman" w:hAnsi="Times New Roman" w:eastAsia="宋体"/>
      <w:sz w:val="24"/>
    </w:rPr>
  </w:style>
  <w:style w:type="character" w:customStyle="1" w:styleId="92">
    <w:name w:val="font161"/>
    <w:qFormat/>
    <w:uiPriority w:val="99"/>
    <w:rPr>
      <w:b/>
      <w:sz w:val="32"/>
    </w:rPr>
  </w:style>
  <w:style w:type="character" w:customStyle="1" w:styleId="93">
    <w:name w:val="未处理的提及1"/>
    <w:qFormat/>
    <w:uiPriority w:val="99"/>
    <w:rPr>
      <w:color w:val="605E5C"/>
      <w:shd w:val="clear" w:color="auto" w:fill="E1DFDD"/>
    </w:rPr>
  </w:style>
  <w:style w:type="character" w:customStyle="1" w:styleId="94">
    <w:name w:val="文档结构图 字符1"/>
    <w:semiHidden/>
    <w:qFormat/>
    <w:locked/>
    <w:uiPriority w:val="99"/>
    <w:rPr>
      <w:rFonts w:ascii="宋体" w:hAnsi="Times New Roman" w:eastAsia="宋体"/>
      <w:sz w:val="18"/>
    </w:rPr>
  </w:style>
  <w:style w:type="character" w:customStyle="1" w:styleId="95">
    <w:name w:val="标题 5 字符1"/>
    <w:qFormat/>
    <w:locked/>
    <w:uiPriority w:val="99"/>
    <w:rPr>
      <w:rFonts w:ascii="Times New Roman" w:hAnsi="Times New Roman" w:eastAsia="宋体"/>
      <w:b/>
      <w:kern w:val="0"/>
      <w:sz w:val="20"/>
    </w:rPr>
  </w:style>
  <w:style w:type="character" w:customStyle="1" w:styleId="96">
    <w:name w:val="标题 2 字符"/>
    <w:semiHidden/>
    <w:qFormat/>
    <w:uiPriority w:val="99"/>
    <w:rPr>
      <w:rFonts w:ascii="等线 Light" w:hAnsi="等线 Light" w:eastAsia="等线 Light"/>
      <w:b/>
      <w:sz w:val="32"/>
    </w:rPr>
  </w:style>
  <w:style w:type="character" w:customStyle="1" w:styleId="97">
    <w:name w:val="纯文本 字符1"/>
    <w:qFormat/>
    <w:locked/>
    <w:uiPriority w:val="99"/>
    <w:rPr>
      <w:rFonts w:ascii="宋体" w:hAnsi="Courier New" w:eastAsia="宋体"/>
      <w:kern w:val="0"/>
      <w:sz w:val="21"/>
    </w:rPr>
  </w:style>
  <w:style w:type="character" w:customStyle="1" w:styleId="98">
    <w:name w:val="正文文本 3 字符"/>
    <w:semiHidden/>
    <w:qFormat/>
    <w:uiPriority w:val="99"/>
    <w:rPr>
      <w:rFonts w:ascii="Times New Roman" w:hAnsi="Times New Roman" w:eastAsia="宋体"/>
      <w:sz w:val="16"/>
    </w:rPr>
  </w:style>
  <w:style w:type="character" w:customStyle="1" w:styleId="99">
    <w:name w:val="日期 字符1"/>
    <w:qFormat/>
    <w:locked/>
    <w:uiPriority w:val="99"/>
    <w:rPr>
      <w:rFonts w:ascii="宋体" w:hAnsi="Times New Roman" w:eastAsia="宋体"/>
      <w:kern w:val="0"/>
      <w:sz w:val="20"/>
    </w:rPr>
  </w:style>
  <w:style w:type="character" w:customStyle="1" w:styleId="100">
    <w:name w:val="批注框文本 字符"/>
    <w:semiHidden/>
    <w:qFormat/>
    <w:uiPriority w:val="99"/>
    <w:rPr>
      <w:rFonts w:ascii="Times New Roman" w:hAnsi="Times New Roman" w:eastAsia="宋体"/>
      <w:sz w:val="18"/>
    </w:rPr>
  </w:style>
  <w:style w:type="character" w:customStyle="1" w:styleId="101">
    <w:name w:val="日期 字符"/>
    <w:semiHidden/>
    <w:qFormat/>
    <w:uiPriority w:val="99"/>
    <w:rPr>
      <w:rFonts w:ascii="Times New Roman" w:hAnsi="Times New Roman" w:eastAsia="宋体"/>
      <w:sz w:val="24"/>
    </w:rPr>
  </w:style>
  <w:style w:type="character" w:customStyle="1" w:styleId="102">
    <w:name w:val="标题 6 字符"/>
    <w:semiHidden/>
    <w:qFormat/>
    <w:uiPriority w:val="99"/>
    <w:rPr>
      <w:rFonts w:ascii="等线 Light" w:hAnsi="等线 Light" w:eastAsia="等线 Light"/>
      <w:b/>
      <w:sz w:val="24"/>
    </w:rPr>
  </w:style>
  <w:style w:type="character" w:customStyle="1" w:styleId="103">
    <w:name w:val="正文文本 2 字符1"/>
    <w:qFormat/>
    <w:locked/>
    <w:uiPriority w:val="99"/>
    <w:rPr>
      <w:rFonts w:ascii="Times New Roman" w:hAnsi="Times New Roman" w:eastAsia="黑体"/>
      <w:kern w:val="0"/>
      <w:sz w:val="24"/>
    </w:rPr>
  </w:style>
  <w:style w:type="character" w:customStyle="1" w:styleId="104">
    <w:name w:val="批注文字 字符"/>
    <w:qFormat/>
    <w:uiPriority w:val="99"/>
  </w:style>
  <w:style w:type="character" w:customStyle="1" w:styleId="105">
    <w:name w:val="标题 3 字符"/>
    <w:semiHidden/>
    <w:qFormat/>
    <w:uiPriority w:val="99"/>
    <w:rPr>
      <w:rFonts w:ascii="Times New Roman" w:hAnsi="Times New Roman" w:eastAsia="宋体"/>
      <w:b/>
      <w:sz w:val="32"/>
    </w:rPr>
  </w:style>
  <w:style w:type="character" w:customStyle="1" w:styleId="106">
    <w:name w:val="标题 2 字符1"/>
    <w:qFormat/>
    <w:locked/>
    <w:uiPriority w:val="99"/>
    <w:rPr>
      <w:rFonts w:ascii="Cambria" w:hAnsi="Cambria" w:eastAsia="宋体"/>
      <w:b/>
      <w:sz w:val="32"/>
    </w:rPr>
  </w:style>
  <w:style w:type="character" w:customStyle="1" w:styleId="107">
    <w:name w:val="正文文本 3 字符1"/>
    <w:qFormat/>
    <w:locked/>
    <w:uiPriority w:val="99"/>
    <w:rPr>
      <w:rFonts w:ascii="Times New Roman" w:hAnsi="Times New Roman" w:eastAsia="宋体"/>
      <w:kern w:val="0"/>
      <w:sz w:val="16"/>
    </w:rPr>
  </w:style>
  <w:style w:type="character" w:customStyle="1" w:styleId="108">
    <w:name w:val="纯文本 字符"/>
    <w:semiHidden/>
    <w:qFormat/>
    <w:uiPriority w:val="99"/>
    <w:rPr>
      <w:rFonts w:ascii="等线" w:hAnsi="Courier New"/>
      <w:sz w:val="24"/>
    </w:rPr>
  </w:style>
  <w:style w:type="character" w:customStyle="1" w:styleId="109">
    <w:name w:val="正文文本缩进 2 字符"/>
    <w:semiHidden/>
    <w:qFormat/>
    <w:uiPriority w:val="99"/>
    <w:rPr>
      <w:rFonts w:ascii="Times New Roman" w:hAnsi="Times New Roman" w:eastAsia="宋体"/>
      <w:sz w:val="24"/>
    </w:rPr>
  </w:style>
  <w:style w:type="character" w:customStyle="1" w:styleId="110">
    <w:name w:val="文档结构图 字符"/>
    <w:semiHidden/>
    <w:qFormat/>
    <w:uiPriority w:val="99"/>
    <w:rPr>
      <w:rFonts w:ascii="Microsoft YaHei UI" w:hAnsi="Times New Roman" w:eastAsia="Microsoft YaHei UI"/>
      <w:sz w:val="18"/>
    </w:rPr>
  </w:style>
  <w:style w:type="character" w:customStyle="1" w:styleId="111">
    <w:name w:val="标题 字符1"/>
    <w:qFormat/>
    <w:locked/>
    <w:uiPriority w:val="99"/>
    <w:rPr>
      <w:rFonts w:ascii="Times New Roman" w:hAnsi="Times New Roman" w:eastAsia="宋体"/>
      <w:b/>
      <w:kern w:val="0"/>
      <w:sz w:val="20"/>
    </w:rPr>
  </w:style>
  <w:style w:type="character" w:customStyle="1" w:styleId="112">
    <w:name w:val="正文文本缩进 字符"/>
    <w:semiHidden/>
    <w:qFormat/>
    <w:uiPriority w:val="99"/>
    <w:rPr>
      <w:rFonts w:ascii="Times New Roman" w:hAnsi="Times New Roman" w:eastAsia="宋体"/>
      <w:sz w:val="24"/>
    </w:rPr>
  </w:style>
  <w:style w:type="character" w:customStyle="1" w:styleId="113">
    <w:name w:val="标题 8 字符1"/>
    <w:qFormat/>
    <w:locked/>
    <w:uiPriority w:val="99"/>
    <w:rPr>
      <w:rFonts w:ascii="Arial" w:hAnsi="Arial" w:eastAsia="黑体"/>
      <w:kern w:val="0"/>
      <w:sz w:val="20"/>
    </w:rPr>
  </w:style>
  <w:style w:type="character" w:customStyle="1" w:styleId="114">
    <w:name w:val="标题 8 字符"/>
    <w:semiHidden/>
    <w:qFormat/>
    <w:uiPriority w:val="99"/>
    <w:rPr>
      <w:rFonts w:ascii="等线 Light" w:hAnsi="等线 Light" w:eastAsia="等线 Light"/>
      <w:sz w:val="24"/>
    </w:rPr>
  </w:style>
  <w:style w:type="character" w:customStyle="1" w:styleId="115">
    <w:name w:val="批注主题 字符1"/>
    <w:semiHidden/>
    <w:qFormat/>
    <w:locked/>
    <w:uiPriority w:val="99"/>
    <w:rPr>
      <w:rFonts w:ascii="Times New Roman" w:hAnsi="Times New Roman" w:eastAsia="宋体"/>
      <w:b/>
      <w:kern w:val="0"/>
      <w:sz w:val="24"/>
    </w:rPr>
  </w:style>
  <w:style w:type="character" w:customStyle="1" w:styleId="116">
    <w:name w:val="标题 4 字符"/>
    <w:semiHidden/>
    <w:qFormat/>
    <w:uiPriority w:val="99"/>
    <w:rPr>
      <w:rFonts w:ascii="等线 Light" w:hAnsi="等线 Light" w:eastAsia="等线 Light"/>
      <w:b/>
      <w:sz w:val="28"/>
    </w:rPr>
  </w:style>
  <w:style w:type="character" w:customStyle="1" w:styleId="117">
    <w:name w:val="批注框文本 字符1"/>
    <w:semiHidden/>
    <w:qFormat/>
    <w:locked/>
    <w:uiPriority w:val="99"/>
    <w:rPr>
      <w:rFonts w:ascii="Times New Roman" w:hAnsi="Times New Roman" w:eastAsia="宋体"/>
      <w:sz w:val="18"/>
    </w:rPr>
  </w:style>
  <w:style w:type="character" w:customStyle="1" w:styleId="118">
    <w:name w:val="标题 9 字符"/>
    <w:semiHidden/>
    <w:qFormat/>
    <w:uiPriority w:val="99"/>
    <w:rPr>
      <w:rFonts w:ascii="等线 Light" w:hAnsi="等线 Light" w:eastAsia="等线 Light"/>
      <w:sz w:val="21"/>
    </w:rPr>
  </w:style>
  <w:style w:type="character" w:customStyle="1" w:styleId="119">
    <w:name w:val="正文文本缩进 2 字符1"/>
    <w:qFormat/>
    <w:locked/>
    <w:uiPriority w:val="99"/>
    <w:rPr>
      <w:rFonts w:ascii="Times New Roman" w:hAnsi="Times New Roman" w:eastAsia="宋体"/>
      <w:kern w:val="0"/>
      <w:sz w:val="24"/>
    </w:rPr>
  </w:style>
  <w:style w:type="character" w:customStyle="1" w:styleId="120">
    <w:name w:val="Char Char2"/>
    <w:qFormat/>
    <w:uiPriority w:val="99"/>
    <w:rPr>
      <w:rFonts w:ascii="Arial" w:hAnsi="Arial" w:eastAsia="黑体"/>
      <w:b/>
      <w:kern w:val="2"/>
      <w:sz w:val="32"/>
      <w:lang w:val="en-US" w:eastAsia="zh-CN"/>
    </w:rPr>
  </w:style>
  <w:style w:type="character" w:customStyle="1" w:styleId="121">
    <w:name w:val="正文文本缩进 3 字符1"/>
    <w:qFormat/>
    <w:locked/>
    <w:uiPriority w:val="99"/>
    <w:rPr>
      <w:rFonts w:ascii="Times New Roman" w:hAnsi="Times New Roman" w:eastAsia="宋体"/>
      <w:kern w:val="0"/>
      <w:sz w:val="16"/>
    </w:rPr>
  </w:style>
  <w:style w:type="character" w:customStyle="1" w:styleId="122">
    <w:name w:val="批注文字 Char"/>
    <w:semiHidden/>
    <w:qFormat/>
    <w:locked/>
    <w:uiPriority w:val="99"/>
    <w:rPr>
      <w:rFonts w:ascii="Times New Roman" w:hAnsi="Times New Roman" w:eastAsia="宋体"/>
      <w:kern w:val="0"/>
      <w:sz w:val="24"/>
    </w:rPr>
  </w:style>
  <w:style w:type="character" w:customStyle="1" w:styleId="123">
    <w:name w:val="正文文本 字符1"/>
    <w:qFormat/>
    <w:locked/>
    <w:uiPriority w:val="99"/>
    <w:rPr>
      <w:rFonts w:ascii="Times New Roman" w:hAnsi="Times New Roman" w:eastAsia="黑体"/>
      <w:kern w:val="0"/>
      <w:sz w:val="24"/>
    </w:rPr>
  </w:style>
  <w:style w:type="character" w:customStyle="1" w:styleId="124">
    <w:name w:val="标题 字符"/>
    <w:qFormat/>
    <w:uiPriority w:val="99"/>
    <w:rPr>
      <w:rFonts w:ascii="等线 Light" w:hAnsi="等线 Light" w:eastAsia="等线 Light"/>
      <w:b/>
      <w:sz w:val="32"/>
    </w:rPr>
  </w:style>
  <w:style w:type="character" w:customStyle="1" w:styleId="125">
    <w:name w:val="正文文本缩进 3 字符"/>
    <w:semiHidden/>
    <w:qFormat/>
    <w:uiPriority w:val="99"/>
    <w:rPr>
      <w:rFonts w:ascii="Times New Roman" w:hAnsi="Times New Roman" w:eastAsia="宋体"/>
      <w:sz w:val="16"/>
    </w:rPr>
  </w:style>
  <w:style w:type="character" w:customStyle="1" w:styleId="126">
    <w:name w:val="样式 粉红"/>
    <w:qFormat/>
    <w:uiPriority w:val="99"/>
    <w:rPr>
      <w:color w:val="auto"/>
      <w:u w:val="none"/>
    </w:rPr>
  </w:style>
  <w:style w:type="character" w:customStyle="1" w:styleId="127">
    <w:name w:val="Char Char1"/>
    <w:qFormat/>
    <w:uiPriority w:val="99"/>
    <w:rPr>
      <w:rFonts w:eastAsia="宋体"/>
      <w:kern w:val="2"/>
      <w:sz w:val="24"/>
      <w:lang w:val="en-US" w:eastAsia="zh-CN"/>
    </w:rPr>
  </w:style>
  <w:style w:type="character" w:customStyle="1" w:styleId="128">
    <w:name w:val="正文文本 2 Char1"/>
    <w:basedOn w:val="43"/>
    <w:semiHidden/>
    <w:qFormat/>
    <w:uiPriority w:val="99"/>
    <w:rPr>
      <w:rFonts w:ascii="Times New Roman" w:hAnsi="Times New Roman" w:eastAsia="宋体" w:cs="Times New Roman"/>
      <w:sz w:val="24"/>
      <w:szCs w:val="24"/>
    </w:rPr>
  </w:style>
  <w:style w:type="character" w:customStyle="1" w:styleId="129">
    <w:name w:val="文档结构图 Char1"/>
    <w:basedOn w:val="43"/>
    <w:semiHidden/>
    <w:qFormat/>
    <w:uiPriority w:val="99"/>
    <w:rPr>
      <w:rFonts w:ascii="宋体" w:hAnsi="Times New Roman" w:eastAsia="宋体" w:cs="Times New Roman"/>
      <w:sz w:val="18"/>
      <w:szCs w:val="18"/>
    </w:rPr>
  </w:style>
  <w:style w:type="character" w:customStyle="1" w:styleId="130">
    <w:name w:val="批注框文本 Char1"/>
    <w:basedOn w:val="43"/>
    <w:semiHidden/>
    <w:qFormat/>
    <w:uiPriority w:val="99"/>
    <w:rPr>
      <w:rFonts w:ascii="Times New Roman" w:hAnsi="Times New Roman" w:eastAsia="宋体" w:cs="Times New Roman"/>
      <w:sz w:val="18"/>
      <w:szCs w:val="18"/>
    </w:rPr>
  </w:style>
  <w:style w:type="character" w:customStyle="1" w:styleId="131">
    <w:name w:val="批注主题 Char1"/>
    <w:basedOn w:val="59"/>
    <w:semiHidden/>
    <w:qFormat/>
    <w:uiPriority w:val="99"/>
    <w:rPr>
      <w:rFonts w:ascii="Times New Roman" w:hAnsi="Times New Roman" w:eastAsia="宋体" w:cs="Times New Roman"/>
      <w:b/>
      <w:bCs/>
      <w:sz w:val="24"/>
      <w:szCs w:val="24"/>
    </w:rPr>
  </w:style>
  <w:style w:type="character" w:customStyle="1" w:styleId="132">
    <w:name w:val="正文文本缩进 Char1"/>
    <w:basedOn w:val="43"/>
    <w:semiHidden/>
    <w:qFormat/>
    <w:uiPriority w:val="99"/>
    <w:rPr>
      <w:rFonts w:ascii="Times New Roman" w:hAnsi="Times New Roman" w:eastAsia="宋体" w:cs="Times New Roman"/>
      <w:sz w:val="24"/>
      <w:szCs w:val="24"/>
    </w:rPr>
  </w:style>
  <w:style w:type="character" w:customStyle="1" w:styleId="133">
    <w:name w:val="正文文本 3 Char1"/>
    <w:basedOn w:val="43"/>
    <w:semiHidden/>
    <w:qFormat/>
    <w:uiPriority w:val="99"/>
    <w:rPr>
      <w:rFonts w:ascii="Times New Roman" w:hAnsi="Times New Roman" w:eastAsia="宋体" w:cs="Times New Roman"/>
      <w:sz w:val="16"/>
      <w:szCs w:val="16"/>
    </w:rPr>
  </w:style>
  <w:style w:type="character" w:customStyle="1" w:styleId="134">
    <w:name w:val="正文文本缩进 2 Char1"/>
    <w:basedOn w:val="43"/>
    <w:semiHidden/>
    <w:qFormat/>
    <w:uiPriority w:val="99"/>
    <w:rPr>
      <w:rFonts w:ascii="Times New Roman" w:hAnsi="Times New Roman" w:eastAsia="宋体" w:cs="Times New Roman"/>
      <w:sz w:val="24"/>
      <w:szCs w:val="24"/>
    </w:rPr>
  </w:style>
  <w:style w:type="character" w:customStyle="1" w:styleId="135">
    <w:name w:val="正文文本 Char1"/>
    <w:basedOn w:val="43"/>
    <w:semiHidden/>
    <w:qFormat/>
    <w:uiPriority w:val="99"/>
    <w:rPr>
      <w:rFonts w:ascii="Times New Roman" w:hAnsi="Times New Roman" w:eastAsia="宋体" w:cs="Times New Roman"/>
      <w:sz w:val="24"/>
      <w:szCs w:val="24"/>
    </w:rPr>
  </w:style>
  <w:style w:type="character" w:customStyle="1" w:styleId="136">
    <w:name w:val="标题 Char1"/>
    <w:basedOn w:val="43"/>
    <w:qFormat/>
    <w:uiPriority w:val="99"/>
    <w:rPr>
      <w:rFonts w:ascii="Cambria" w:hAnsi="Cambria" w:eastAsia="宋体" w:cs="Times New Roman"/>
      <w:b/>
      <w:bCs/>
      <w:sz w:val="32"/>
      <w:szCs w:val="32"/>
    </w:rPr>
  </w:style>
  <w:style w:type="character" w:customStyle="1" w:styleId="137">
    <w:name w:val="正文文本缩进 3 Char1"/>
    <w:basedOn w:val="43"/>
    <w:semiHidden/>
    <w:qFormat/>
    <w:uiPriority w:val="99"/>
    <w:rPr>
      <w:rFonts w:ascii="Times New Roman" w:hAnsi="Times New Roman" w:eastAsia="宋体" w:cs="Times New Roman"/>
      <w:sz w:val="16"/>
      <w:szCs w:val="16"/>
    </w:rPr>
  </w:style>
  <w:style w:type="character" w:customStyle="1" w:styleId="138">
    <w:name w:val="日期 Char1"/>
    <w:basedOn w:val="43"/>
    <w:semiHidden/>
    <w:qFormat/>
    <w:uiPriority w:val="99"/>
    <w:rPr>
      <w:rFonts w:ascii="Times New Roman" w:hAnsi="Times New Roman" w:eastAsia="宋体" w:cs="Times New Roman"/>
      <w:sz w:val="24"/>
      <w:szCs w:val="24"/>
    </w:rPr>
  </w:style>
  <w:style w:type="character" w:customStyle="1" w:styleId="139">
    <w:name w:val="纯文本 Char1"/>
    <w:basedOn w:val="43"/>
    <w:semiHidden/>
    <w:qFormat/>
    <w:uiPriority w:val="99"/>
    <w:rPr>
      <w:rFonts w:ascii="宋体" w:hAnsi="Courier New" w:eastAsia="宋体" w:cs="Courier New"/>
      <w:sz w:val="21"/>
      <w:szCs w:val="21"/>
    </w:rPr>
  </w:style>
  <w:style w:type="paragraph" w:customStyle="1" w:styleId="140">
    <w:name w:val="1"/>
    <w:basedOn w:val="1"/>
    <w:qFormat/>
    <w:uiPriority w:val="99"/>
  </w:style>
  <w:style w:type="paragraph" w:customStyle="1" w:styleId="141">
    <w:name w:val="Char Char Char Char"/>
    <w:basedOn w:val="1"/>
    <w:qFormat/>
    <w:uiPriority w:val="99"/>
    <w:pPr>
      <w:widowControl/>
      <w:spacing w:after="160" w:line="240" w:lineRule="exact"/>
      <w:jc w:val="left"/>
    </w:pPr>
    <w:rPr>
      <w:szCs w:val="20"/>
    </w:rPr>
  </w:style>
  <w:style w:type="paragraph" w:customStyle="1" w:styleId="14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43">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144">
    <w:name w:val="样式 标题 2 + Times New Roman 四号 非加粗 段前: 5 磅 段后: 0 磅 行距: 固定值 20..."/>
    <w:basedOn w:val="3"/>
    <w:qFormat/>
    <w:uiPriority w:val="99"/>
    <w:pPr>
      <w:spacing w:beforeLines="50" w:afterLines="50" w:line="360" w:lineRule="auto"/>
    </w:pPr>
    <w:rPr>
      <w:rFonts w:ascii="宋体" w:hAnsi="宋体" w:cs="宋体"/>
      <w:b w:val="0"/>
      <w:bCs w:val="0"/>
      <w:sz w:val="28"/>
      <w:szCs w:val="20"/>
    </w:rPr>
  </w:style>
  <w:style w:type="paragraph" w:customStyle="1" w:styleId="145">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146">
    <w:name w:val="xl24"/>
    <w:basedOn w:val="1"/>
    <w:qFormat/>
    <w:uiPriority w:val="99"/>
    <w:pPr>
      <w:widowControl/>
      <w:spacing w:before="100" w:after="100"/>
      <w:jc w:val="center"/>
      <w:textAlignment w:val="center"/>
    </w:pPr>
    <w:rPr>
      <w:rFonts w:ascii="宋体" w:hAnsi="宋体"/>
      <w:kern w:val="0"/>
      <w:sz w:val="24"/>
      <w:szCs w:val="20"/>
    </w:rPr>
  </w:style>
  <w:style w:type="paragraph" w:customStyle="1" w:styleId="147">
    <w:name w:val="2"/>
    <w:basedOn w:val="1"/>
    <w:next w:val="18"/>
    <w:qFormat/>
    <w:uiPriority w:val="99"/>
    <w:pPr>
      <w:ind w:left="432"/>
    </w:pPr>
    <w:rPr>
      <w:szCs w:val="20"/>
    </w:rPr>
  </w:style>
  <w:style w:type="paragraph" w:styleId="148">
    <w:name w:val="List Paragraph"/>
    <w:basedOn w:val="1"/>
    <w:qFormat/>
    <w:uiPriority w:val="99"/>
    <w:pPr>
      <w:ind w:firstLine="420" w:firstLineChars="200"/>
    </w:pPr>
  </w:style>
  <w:style w:type="paragraph" w:customStyle="1" w:styleId="149">
    <w:name w:val="样式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50">
    <w:name w:val="表格文字"/>
    <w:basedOn w:val="1"/>
    <w:qFormat/>
    <w:uiPriority w:val="99"/>
    <w:pPr>
      <w:adjustRightInd w:val="0"/>
      <w:spacing w:line="420" w:lineRule="atLeast"/>
      <w:jc w:val="left"/>
      <w:textAlignment w:val="baseline"/>
    </w:pPr>
    <w:rPr>
      <w:kern w:val="0"/>
      <w:szCs w:val="20"/>
    </w:rPr>
  </w:style>
  <w:style w:type="paragraph" w:customStyle="1" w:styleId="151">
    <w:name w:val="XW正文"/>
    <w:basedOn w:val="18"/>
    <w:qFormat/>
    <w:uiPriority w:val="99"/>
    <w:pPr>
      <w:adjustRightInd w:val="0"/>
      <w:snapToGrid w:val="0"/>
      <w:spacing w:after="0" w:line="300" w:lineRule="auto"/>
      <w:ind w:left="0" w:leftChars="0" w:firstLine="520" w:firstLineChars="200"/>
      <w:jc w:val="left"/>
    </w:pPr>
  </w:style>
  <w:style w:type="paragraph" w:customStyle="1" w:styleId="152">
    <w:name w:val="Char1"/>
    <w:basedOn w:val="1"/>
    <w:qFormat/>
    <w:uiPriority w:val="99"/>
    <w:rPr>
      <w:rFonts w:ascii="Tahoma" w:hAnsi="Tahoma"/>
      <w:sz w:val="24"/>
      <w:szCs w:val="20"/>
    </w:rPr>
  </w:style>
  <w:style w:type="paragraph" w:customStyle="1" w:styleId="153">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54">
    <w:name w:val="表格"/>
    <w:basedOn w:val="1"/>
    <w:qFormat/>
    <w:uiPriority w:val="99"/>
    <w:pPr>
      <w:jc w:val="center"/>
      <w:textAlignment w:val="center"/>
    </w:pPr>
    <w:rPr>
      <w:rFonts w:ascii="华文细黑" w:hAnsi="华文细黑"/>
      <w:kern w:val="0"/>
      <w:szCs w:val="20"/>
    </w:rPr>
  </w:style>
  <w:style w:type="paragraph" w:customStyle="1" w:styleId="155">
    <w:name w:val="样式 标题 3 + (中文) 黑体 小四 非加粗 段前: 7.8 磅 段后: 0 磅 行距: 固定值 20 磅"/>
    <w:basedOn w:val="4"/>
    <w:qFormat/>
    <w:uiPriority w:val="0"/>
    <w:pPr>
      <w:spacing w:beforeLines="50" w:afterLines="50" w:line="360" w:lineRule="auto"/>
    </w:pPr>
    <w:rPr>
      <w:rFonts w:ascii="宋体" w:hAnsi="宋体"/>
      <w:b w:val="0"/>
      <w:bCs w:val="0"/>
      <w:sz w:val="24"/>
      <w:szCs w:val="20"/>
    </w:rPr>
  </w:style>
  <w:style w:type="paragraph" w:customStyle="1" w:styleId="156">
    <w:name w:val="3"/>
    <w:basedOn w:val="1"/>
    <w:next w:val="16"/>
    <w:qFormat/>
    <w:uiPriority w:val="99"/>
    <w:rPr>
      <w:rFonts w:ascii="宋体"/>
      <w:sz w:val="24"/>
      <w:szCs w:val="20"/>
    </w:rPr>
  </w:style>
  <w:style w:type="paragraph" w:customStyle="1" w:styleId="157">
    <w:name w:val="金安桥正文"/>
    <w:basedOn w:val="18"/>
    <w:qFormat/>
    <w:uiPriority w:val="99"/>
    <w:pPr>
      <w:adjustRightInd w:val="0"/>
      <w:spacing w:after="0" w:line="300" w:lineRule="auto"/>
      <w:ind w:left="0" w:leftChars="0" w:firstLine="200" w:firstLineChars="200"/>
      <w:jc w:val="left"/>
    </w:pPr>
    <w:rPr>
      <w:szCs w:val="20"/>
    </w:rPr>
  </w:style>
  <w:style w:type="paragraph" w:customStyle="1" w:styleId="158">
    <w:name w:val="TOC 标题1"/>
    <w:basedOn w:val="2"/>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159">
    <w:name w:val="p17"/>
    <w:basedOn w:val="1"/>
    <w:qFormat/>
    <w:uiPriority w:val="99"/>
    <w:pPr>
      <w:widowControl/>
    </w:pPr>
    <w:rPr>
      <w:kern w:val="0"/>
      <w:szCs w:val="21"/>
    </w:rPr>
  </w:style>
  <w:style w:type="paragraph" w:customStyle="1" w:styleId="160">
    <w:name w:val="Normal_0"/>
    <w:qFormat/>
    <w:uiPriority w:val="99"/>
    <w:pPr>
      <w:spacing w:before="120" w:after="240"/>
      <w:jc w:val="both"/>
    </w:pPr>
    <w:rPr>
      <w:rFonts w:ascii="Calibri" w:hAnsi="Calibri" w:eastAsia="宋体" w:cs="Times New Roman"/>
      <w:sz w:val="22"/>
      <w:szCs w:val="22"/>
      <w:lang w:val="ru-RU" w:eastAsia="en-US" w:bidi="ar-SA"/>
    </w:rPr>
  </w:style>
  <w:style w:type="paragraph" w:customStyle="1" w:styleId="161">
    <w:name w:val="Char12"/>
    <w:basedOn w:val="1"/>
    <w:qFormat/>
    <w:uiPriority w:val="99"/>
    <w:rPr>
      <w:rFonts w:ascii="Tahoma" w:hAnsi="Tahoma"/>
      <w:sz w:val="24"/>
      <w:szCs w:val="20"/>
    </w:rPr>
  </w:style>
  <w:style w:type="paragraph" w:customStyle="1" w:styleId="162">
    <w:name w:val="Char Char Char Char2"/>
    <w:basedOn w:val="1"/>
    <w:qFormat/>
    <w:uiPriority w:val="99"/>
    <w:pPr>
      <w:widowControl/>
      <w:spacing w:after="160" w:line="240" w:lineRule="exact"/>
      <w:jc w:val="left"/>
    </w:pPr>
    <w:rPr>
      <w:szCs w:val="20"/>
    </w:rPr>
  </w:style>
  <w:style w:type="paragraph" w:customStyle="1" w:styleId="163">
    <w:name w:val="访问过的超链接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Char11"/>
    <w:basedOn w:val="1"/>
    <w:qFormat/>
    <w:uiPriority w:val="99"/>
    <w:rPr>
      <w:rFonts w:ascii="Tahoma" w:hAnsi="Tahoma"/>
      <w:sz w:val="24"/>
      <w:szCs w:val="20"/>
    </w:rPr>
  </w:style>
  <w:style w:type="paragraph" w:customStyle="1" w:styleId="165">
    <w:name w:val="Char Char Char Char1"/>
    <w:basedOn w:val="1"/>
    <w:qFormat/>
    <w:uiPriority w:val="99"/>
    <w:pPr>
      <w:widowControl/>
      <w:spacing w:after="160" w:line="240" w:lineRule="exact"/>
      <w:jc w:val="left"/>
    </w:pPr>
    <w:rPr>
      <w:szCs w:val="20"/>
    </w:rPr>
  </w:style>
  <w:style w:type="paragraph" w:customStyle="1" w:styleId="166">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167">
    <w:name w:val="Unresolved Mention"/>
    <w:basedOn w:val="4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wmf"/><Relationship Id="rId28" Type="http://schemas.openxmlformats.org/officeDocument/2006/relationships/oleObject" Target="embeddings/oleObject1.bin"/><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21&#24180;&#20462;&#32534;&#12298;&#26631;&#20934;&#25991;&#26412;&#12299;&#30456;&#20851;&#36164;&#26009;20210809\&#26045;&#24037;&#26631;&#20934;&#25991;&#26412;\&#25307;&#26631;&#25991;&#20214;&#65288;&#21518;&#23457;&#65289;20210809&#65288;&#32456;&#31295;&#65289;\&#25307;&#26631;&#25991;&#20214;&#36890;&#29992;&#37096;&#20998;&#65288;&#21518;&#23457;-&#30005;&#23376;&#21270;&#65289;20210810&#65288;&#32456;&#31295;&#6528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979A5-CE57-4420-8E0F-1C16573ACB37}">
  <ds:schemaRefs/>
</ds:datastoreItem>
</file>

<file path=docProps/app.xml><?xml version="1.0" encoding="utf-8"?>
<Properties xmlns="http://schemas.openxmlformats.org/officeDocument/2006/extended-properties" xmlns:vt="http://schemas.openxmlformats.org/officeDocument/2006/docPropsVTypes">
  <Template>招标文件通用部分（后审-电子化）20210810（终稿）.dot</Template>
  <Pages>152</Pages>
  <Words>106048</Words>
  <Characters>112807</Characters>
  <Lines>985</Lines>
  <Paragraphs>277</Paragraphs>
  <TotalTime>2060</TotalTime>
  <ScaleCrop>false</ScaleCrop>
  <LinksUpToDate>false</LinksUpToDate>
  <CharactersWithSpaces>115833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2021-08-12T05:02:00Z</dcterms:created>
  <dc:creator>13</dc:creator>
  <cp:lastModifiedBy>孙凯</cp:lastModifiedBy>
  <dcterms:modified xsi:type="dcterms:W3CDTF">2023-04-07T01:03:44Z</dcterms:modified>
  <cp:revision>324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7A3E4C416A61474FADD37B7A69052667</vt:lpwstr>
  </property>
</Properties>
</file>