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重大投资项目储备工作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公告</w:t>
      </w:r>
    </w:p>
    <w:p>
      <w:pPr>
        <w:spacing w:line="560" w:lineRule="exact"/>
        <w:jc w:val="center"/>
        <w:rPr>
          <w:rFonts w:ascii="宋体" w:hAnsi="宋体" w:eastAsia="宋体" w:cs="仿宋_GB2312"/>
          <w:b/>
          <w:bCs/>
          <w:sz w:val="44"/>
          <w:szCs w:val="44"/>
          <w:lang w:val="zh-CN"/>
        </w:rPr>
      </w:pP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1.项目名称：重大投资项目储备工作比选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.项目总控制金额人民币：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万元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3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.资金来源：财政资金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4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.采购需求：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重大投资项目是落实总体规划、稳定经济增长、扩大有效投资、增强发展后劲的关键抓手。市委市政府主要领导在调研重大项目开工建设时明确，要围绕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“五子”联动，狠抓有效投资，子子都要落在项目上。从当前各区各部门项目储备情况看，储备支撑与“十四五”时期首都经济社会高质量发展和“五子”联动落地的要求仍有一定差距。2021年8月，《北京市重大投资项目储备管理办法》（京政办发〔2021〕14号）正式印发，全市重大投资项目储备机制初步建立，重大项目储备库同步上线。2022年，为进一步加强全市重大投资项目谋划储备和接续实施，为首都经济社会高质量发展提供持续有力支撑，拟结合储备办法落地实施开展重大投资项目储备工作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5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.服务期限：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合同签署之日至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>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年1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月。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.参选人资格要求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参加比选申请人必须同时满足下列全部要求：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具备独立承担民事责任的能力；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具有良好的商业信誉和健全的财务会计制度；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有依法缴纳税收和社会保障资金的良好记录；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近三年无违法或不良行为记录；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对承担的类似项目的业绩和经验；</w:t>
      </w:r>
    </w:p>
    <w:p>
      <w:pPr>
        <w:numPr>
          <w:ilvl w:val="0"/>
          <w:numId w:val="1"/>
        </w:numPr>
        <w:spacing w:line="560" w:lineRule="exact"/>
        <w:ind w:left="5" w:leftChars="0" w:firstLine="63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在相关行业具有一定项目实施经验，近年规范化和采集或档案规范及数据采集服务的业绩丰富，对北京市情比较熟悉；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具有健全的内部管理制度，具备相关质量保证体系；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具有固定的工作场所和相应的工作条件；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服务团队应有具备相应专业资质的专职人员；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熟悉行业内有关法律、法规、标准、技术规范及政策；</w:t>
      </w:r>
    </w:p>
    <w:p>
      <w:pPr>
        <w:numPr>
          <w:ilvl w:val="0"/>
          <w:numId w:val="1"/>
        </w:numPr>
        <w:spacing w:line="560" w:lineRule="exact"/>
        <w:ind w:left="425" w:leftChars="0" w:firstLine="215" w:firstLineChars="0"/>
        <w:rPr>
          <w:rFonts w:hint="eastAsia"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本项目不接受联合体比选。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服务单位应能够提供正式发票（不包括往来款收据、非经营性收款收据）。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7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.比选文件售价：人民币0元，售后不退。获取比选文件形式：现场报名。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8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.购买比选文件时间和地点：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时间:202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16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日至202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日(法定假日除外)，上午9:30至11:30；下午1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>4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: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>0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0至1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>7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:00(北京时间)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地点: 北京市通州区运河东大街55号院1228会议室。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购买比选文件时请携带以下材料：</w:t>
      </w:r>
    </w:p>
    <w:p>
      <w:pPr>
        <w:numPr>
          <w:ilvl w:val="0"/>
          <w:numId w:val="2"/>
        </w:numPr>
        <w:spacing w:line="560" w:lineRule="exact"/>
        <w:ind w:left="425" w:leftChars="0" w:firstLine="215" w:firstLineChars="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营业执照（事业单位法人证书）复印件（加盖公章）；</w:t>
      </w:r>
    </w:p>
    <w:p>
      <w:pPr>
        <w:numPr>
          <w:ilvl w:val="0"/>
          <w:numId w:val="2"/>
        </w:numPr>
        <w:spacing w:line="560" w:lineRule="exact"/>
        <w:ind w:left="5" w:leftChars="0" w:firstLine="635" w:firstLineChars="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法定代表人委托授权书及被委托人的身份证原件及复印件加盖公章；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9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.比选文件答疑时间截止：202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日下午1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>7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:00（北京时间）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10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.参选截止时间：202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日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14:30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(北京时间)，逾期收到或不符合规定的参选文件恕不接受。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11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.开标时间：2021年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日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14:30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 xml:space="preserve">   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ascii="仿宋_GB2312" w:hAnsi="宋体" w:eastAsia="仿宋_GB2312" w:cs="仿宋_GB2312"/>
          <w:sz w:val="30"/>
          <w:szCs w:val="30"/>
          <w:lang w:val="zh-CN"/>
        </w:rPr>
        <w:t>12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.参选、开标地点：北京市通州区运河东大街55号院1228会议室。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1</w:t>
      </w:r>
      <w:r>
        <w:rPr>
          <w:rFonts w:ascii="仿宋_GB2312" w:hAnsi="宋体" w:eastAsia="仿宋_GB2312" w:cs="仿宋_GB2312"/>
          <w:sz w:val="30"/>
          <w:szCs w:val="30"/>
          <w:lang w:val="zh-CN"/>
        </w:rPr>
        <w:t>3</w:t>
      </w: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.凡对本次比选提出询问，请与北京市发展和改革委员会联系。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比选人：北京市发展和改革委员会</w:t>
      </w:r>
    </w:p>
    <w:p>
      <w:pPr>
        <w:spacing w:line="560" w:lineRule="exact"/>
        <w:ind w:firstLine="600" w:firstLineChars="200"/>
        <w:rPr>
          <w:rFonts w:ascii="仿宋_GB2312" w:hAnsi="宋体" w:eastAsia="仿宋_GB2312" w:cs="仿宋_GB2312"/>
          <w:sz w:val="30"/>
          <w:szCs w:val="30"/>
          <w:lang w:val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地址：北京市通州区运河东大街55号院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联系人：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赵汉卿</w:t>
      </w:r>
    </w:p>
    <w:p>
      <w:pPr>
        <w:spacing w:line="560" w:lineRule="exact"/>
        <w:ind w:firstLine="600" w:firstLineChars="200"/>
        <w:rPr>
          <w:rFonts w:hint="default" w:ascii="仿宋_GB2312" w:hAnsi="宋体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sz w:val="30"/>
          <w:szCs w:val="30"/>
          <w:lang w:val="zh-CN"/>
        </w:rPr>
        <w:t>电话：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55590119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14065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037C0"/>
    <w:multiLevelType w:val="singleLevel"/>
    <w:tmpl w:val="AA5037C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5988FD6"/>
    <w:multiLevelType w:val="singleLevel"/>
    <w:tmpl w:val="55988FD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OWZlOTQyYzM5NzE5YzMyZDczMjUyYzgzMGQ5MDcifQ=="/>
  </w:docVars>
  <w:rsids>
    <w:rsidRoot w:val="00DF28DF"/>
    <w:rsid w:val="000100B9"/>
    <w:rsid w:val="000A1893"/>
    <w:rsid w:val="000B5EA8"/>
    <w:rsid w:val="000C3B71"/>
    <w:rsid w:val="000C7525"/>
    <w:rsid w:val="000E739E"/>
    <w:rsid w:val="000F7928"/>
    <w:rsid w:val="001310B5"/>
    <w:rsid w:val="00131766"/>
    <w:rsid w:val="00141491"/>
    <w:rsid w:val="00177088"/>
    <w:rsid w:val="00177544"/>
    <w:rsid w:val="0019686E"/>
    <w:rsid w:val="001B6248"/>
    <w:rsid w:val="001E739E"/>
    <w:rsid w:val="00203417"/>
    <w:rsid w:val="00207227"/>
    <w:rsid w:val="00215F6F"/>
    <w:rsid w:val="00235B8D"/>
    <w:rsid w:val="002475D1"/>
    <w:rsid w:val="00260BA2"/>
    <w:rsid w:val="00293821"/>
    <w:rsid w:val="002C22AA"/>
    <w:rsid w:val="002D5E71"/>
    <w:rsid w:val="00301F0C"/>
    <w:rsid w:val="00303F59"/>
    <w:rsid w:val="00305090"/>
    <w:rsid w:val="00306647"/>
    <w:rsid w:val="0031032E"/>
    <w:rsid w:val="0034636C"/>
    <w:rsid w:val="003567FF"/>
    <w:rsid w:val="003A294B"/>
    <w:rsid w:val="003D3F8F"/>
    <w:rsid w:val="003D56DC"/>
    <w:rsid w:val="00417954"/>
    <w:rsid w:val="004253AA"/>
    <w:rsid w:val="004552D1"/>
    <w:rsid w:val="004677C5"/>
    <w:rsid w:val="004A40B8"/>
    <w:rsid w:val="004B13A6"/>
    <w:rsid w:val="004E1865"/>
    <w:rsid w:val="004E1EFB"/>
    <w:rsid w:val="004F42AF"/>
    <w:rsid w:val="00511763"/>
    <w:rsid w:val="0052129A"/>
    <w:rsid w:val="00534887"/>
    <w:rsid w:val="00535C00"/>
    <w:rsid w:val="005367D2"/>
    <w:rsid w:val="00541DDE"/>
    <w:rsid w:val="00560054"/>
    <w:rsid w:val="00565E02"/>
    <w:rsid w:val="00571418"/>
    <w:rsid w:val="00593600"/>
    <w:rsid w:val="00596932"/>
    <w:rsid w:val="005C1298"/>
    <w:rsid w:val="005C376D"/>
    <w:rsid w:val="005C6C12"/>
    <w:rsid w:val="00635FC3"/>
    <w:rsid w:val="006C2006"/>
    <w:rsid w:val="006D616E"/>
    <w:rsid w:val="007158D0"/>
    <w:rsid w:val="007173ED"/>
    <w:rsid w:val="00722E4C"/>
    <w:rsid w:val="007412D0"/>
    <w:rsid w:val="00753445"/>
    <w:rsid w:val="00790465"/>
    <w:rsid w:val="007A204B"/>
    <w:rsid w:val="007A7F67"/>
    <w:rsid w:val="007B040C"/>
    <w:rsid w:val="007D2F0C"/>
    <w:rsid w:val="00831756"/>
    <w:rsid w:val="008551C4"/>
    <w:rsid w:val="008D107D"/>
    <w:rsid w:val="008D5462"/>
    <w:rsid w:val="00947788"/>
    <w:rsid w:val="00990C0D"/>
    <w:rsid w:val="009A6365"/>
    <w:rsid w:val="009E61EF"/>
    <w:rsid w:val="009F1FF0"/>
    <w:rsid w:val="00A04CB1"/>
    <w:rsid w:val="00A457C9"/>
    <w:rsid w:val="00A51AC2"/>
    <w:rsid w:val="00A54385"/>
    <w:rsid w:val="00A6219D"/>
    <w:rsid w:val="00A95A42"/>
    <w:rsid w:val="00AC478B"/>
    <w:rsid w:val="00AD6D7F"/>
    <w:rsid w:val="00AF59B3"/>
    <w:rsid w:val="00AF6F5D"/>
    <w:rsid w:val="00B23AAF"/>
    <w:rsid w:val="00B247DB"/>
    <w:rsid w:val="00B623DD"/>
    <w:rsid w:val="00B67273"/>
    <w:rsid w:val="00BB1E86"/>
    <w:rsid w:val="00BC7568"/>
    <w:rsid w:val="00C1736A"/>
    <w:rsid w:val="00C335AF"/>
    <w:rsid w:val="00C4392D"/>
    <w:rsid w:val="00C46B14"/>
    <w:rsid w:val="00C91003"/>
    <w:rsid w:val="00CB516B"/>
    <w:rsid w:val="00CF1C73"/>
    <w:rsid w:val="00CF3831"/>
    <w:rsid w:val="00CF555A"/>
    <w:rsid w:val="00D12F34"/>
    <w:rsid w:val="00D44156"/>
    <w:rsid w:val="00D46D99"/>
    <w:rsid w:val="00D51621"/>
    <w:rsid w:val="00D60BDA"/>
    <w:rsid w:val="00DC5B39"/>
    <w:rsid w:val="00DD478A"/>
    <w:rsid w:val="00DE73C0"/>
    <w:rsid w:val="00DF28DF"/>
    <w:rsid w:val="00E17033"/>
    <w:rsid w:val="00E24736"/>
    <w:rsid w:val="00E27195"/>
    <w:rsid w:val="00E35023"/>
    <w:rsid w:val="00E44634"/>
    <w:rsid w:val="00EA7129"/>
    <w:rsid w:val="00ED5B46"/>
    <w:rsid w:val="00F064C6"/>
    <w:rsid w:val="00F124F7"/>
    <w:rsid w:val="00F24CD9"/>
    <w:rsid w:val="00F40F84"/>
    <w:rsid w:val="00F65CA4"/>
    <w:rsid w:val="00F73026"/>
    <w:rsid w:val="00FB79AB"/>
    <w:rsid w:val="00FD3264"/>
    <w:rsid w:val="00FE7AB6"/>
    <w:rsid w:val="01EA57AF"/>
    <w:rsid w:val="0C0F3E59"/>
    <w:rsid w:val="147760EF"/>
    <w:rsid w:val="174E77DB"/>
    <w:rsid w:val="17EC339E"/>
    <w:rsid w:val="305141C4"/>
    <w:rsid w:val="32A8250F"/>
    <w:rsid w:val="3C181CBB"/>
    <w:rsid w:val="41343B47"/>
    <w:rsid w:val="48BF7CB8"/>
    <w:rsid w:val="54F96AA5"/>
    <w:rsid w:val="620116A1"/>
    <w:rsid w:val="6B517E6A"/>
    <w:rsid w:val="6E314139"/>
    <w:rsid w:val="7CF8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580"/>
      </w:tabs>
      <w:ind w:left="420" w:firstLine="420" w:firstLineChars="200"/>
    </w:pPr>
  </w:style>
  <w:style w:type="paragraph" w:styleId="3">
    <w:name w:val="Body Text Indent"/>
    <w:basedOn w:val="1"/>
    <w:next w:val="4"/>
    <w:qFormat/>
    <w:uiPriority w:val="99"/>
    <w:pPr>
      <w:tabs>
        <w:tab w:val="left" w:pos="5580"/>
      </w:tabs>
      <w:spacing w:before="120" w:beforeLines="0" w:line="360" w:lineRule="auto"/>
      <w:ind w:firstLine="454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1016</Words>
  <Characters>1109</Characters>
  <Lines>9</Lines>
  <Paragraphs>2</Paragraphs>
  <TotalTime>3</TotalTime>
  <ScaleCrop>false</ScaleCrop>
  <LinksUpToDate>false</LinksUpToDate>
  <CharactersWithSpaces>1118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2021-05-24T10:07:00Z</dcterms:created>
  <dc:creator>吴 垠</dc:creator>
  <cp:lastModifiedBy>汗青</cp:lastModifiedBy>
  <dcterms:modified xsi:type="dcterms:W3CDTF">2022-06-15T09:36:29Z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E9EFB35AA8BD41B6BDA8DFC985F53DE2</vt:lpwstr>
  </property>
</Properties>
</file>